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jc w:val="center"/>
        <w:tblLook w:val="04A0" w:firstRow="1" w:lastRow="0" w:firstColumn="1" w:lastColumn="0" w:noHBand="0" w:noVBand="1"/>
      </w:tblPr>
      <w:tblGrid>
        <w:gridCol w:w="562"/>
        <w:gridCol w:w="1843"/>
        <w:gridCol w:w="1843"/>
        <w:gridCol w:w="5670"/>
        <w:gridCol w:w="4076"/>
      </w:tblGrid>
      <w:tr w:rsidR="001C4E87" w:rsidRPr="00F43ABB" w14:paraId="56E089F6" w14:textId="77777777" w:rsidTr="00B919AF">
        <w:trPr>
          <w:trHeight w:val="592"/>
          <w:jc w:val="center"/>
        </w:trPr>
        <w:tc>
          <w:tcPr>
            <w:tcW w:w="13994" w:type="dxa"/>
            <w:gridSpan w:val="5"/>
            <w:shd w:val="clear" w:color="auto" w:fill="A6A6A6" w:themeFill="background1" w:themeFillShade="A6"/>
            <w:vAlign w:val="center"/>
          </w:tcPr>
          <w:p w14:paraId="3C046025" w14:textId="77777777" w:rsidR="00E74F02" w:rsidRDefault="003514BB" w:rsidP="008B68BE">
            <w:pPr>
              <w:jc w:val="center"/>
              <w:rPr>
                <w:rFonts w:cstheme="minorHAnsi"/>
                <w:b/>
                <w:sz w:val="20"/>
                <w:szCs w:val="20"/>
                <w:lang w:eastAsia="pl-PL"/>
              </w:rPr>
            </w:pPr>
            <w:r w:rsidRPr="008B68BE">
              <w:rPr>
                <w:rFonts w:cstheme="minorHAnsi"/>
                <w:b/>
                <w:sz w:val="20"/>
                <w:szCs w:val="20"/>
                <w:lang w:eastAsia="pl-PL"/>
              </w:rPr>
              <w:t>U</w:t>
            </w:r>
            <w:r w:rsidR="00E35677" w:rsidRPr="008B68BE">
              <w:rPr>
                <w:rFonts w:cstheme="minorHAnsi"/>
                <w:b/>
                <w:sz w:val="20"/>
                <w:szCs w:val="20"/>
                <w:lang w:eastAsia="pl-PL"/>
              </w:rPr>
              <w:t xml:space="preserve">wagi do projektu </w:t>
            </w:r>
            <w:r w:rsidR="00741A58" w:rsidRPr="008B68BE">
              <w:rPr>
                <w:rFonts w:cstheme="minorHAnsi"/>
                <w:b/>
                <w:sz w:val="20"/>
                <w:szCs w:val="20"/>
                <w:lang w:eastAsia="pl-PL"/>
              </w:rPr>
              <w:t xml:space="preserve">ustawy </w:t>
            </w:r>
            <w:r w:rsidR="006D0AE4" w:rsidRPr="008B68BE">
              <w:rPr>
                <w:rFonts w:cstheme="minorHAnsi"/>
                <w:b/>
                <w:sz w:val="20"/>
                <w:szCs w:val="20"/>
                <w:lang w:eastAsia="pl-PL"/>
              </w:rPr>
              <w:t xml:space="preserve">o </w:t>
            </w:r>
            <w:r w:rsidR="002860D9" w:rsidRPr="002860D9">
              <w:rPr>
                <w:rFonts w:cstheme="minorHAnsi"/>
                <w:b/>
                <w:sz w:val="20"/>
                <w:szCs w:val="20"/>
                <w:lang w:eastAsia="pl-PL"/>
              </w:rPr>
              <w:t>szczególnych rozwiązaniach w zakresie rozpoznawania spraw dotyczących zawartych z konsumentami umów kredytu denominowanego lub indeksowanego do franka szwajcarskiego</w:t>
            </w:r>
            <w:r w:rsidR="002860D9" w:rsidRPr="008B68BE">
              <w:rPr>
                <w:rFonts w:cstheme="minorHAnsi"/>
                <w:b/>
                <w:sz w:val="20"/>
                <w:szCs w:val="20"/>
                <w:lang w:eastAsia="pl-PL"/>
              </w:rPr>
              <w:t xml:space="preserve"> </w:t>
            </w:r>
            <w:r w:rsidRPr="008B68BE">
              <w:rPr>
                <w:rFonts w:cstheme="minorHAnsi"/>
                <w:b/>
                <w:sz w:val="20"/>
                <w:szCs w:val="20"/>
                <w:lang w:eastAsia="pl-PL"/>
              </w:rPr>
              <w:t>(UD</w:t>
            </w:r>
            <w:r w:rsidR="002860D9">
              <w:rPr>
                <w:rFonts w:cstheme="minorHAnsi"/>
                <w:b/>
                <w:sz w:val="20"/>
                <w:szCs w:val="20"/>
                <w:lang w:eastAsia="pl-PL"/>
              </w:rPr>
              <w:t>184</w:t>
            </w:r>
            <w:r w:rsidRPr="008B68BE">
              <w:rPr>
                <w:rFonts w:cstheme="minorHAnsi"/>
                <w:b/>
                <w:sz w:val="20"/>
                <w:szCs w:val="20"/>
                <w:lang w:eastAsia="pl-PL"/>
              </w:rPr>
              <w:t>)</w:t>
            </w:r>
          </w:p>
          <w:p w14:paraId="262AE6AF" w14:textId="75CFB29E" w:rsidR="00E35677" w:rsidRPr="008B68BE" w:rsidRDefault="00E35677" w:rsidP="008B68BE">
            <w:pPr>
              <w:jc w:val="center"/>
              <w:rPr>
                <w:rFonts w:cstheme="minorHAnsi"/>
                <w:b/>
                <w:sz w:val="20"/>
                <w:szCs w:val="20"/>
                <w:lang w:eastAsia="pl-PL"/>
              </w:rPr>
            </w:pPr>
            <w:r w:rsidRPr="008B68BE">
              <w:rPr>
                <w:rFonts w:cstheme="minorHAnsi"/>
                <w:b/>
                <w:sz w:val="20"/>
                <w:szCs w:val="20"/>
                <w:lang w:eastAsia="pl-PL"/>
              </w:rPr>
              <w:t xml:space="preserve">(projekt z dnia </w:t>
            </w:r>
            <w:r w:rsidR="002860D9">
              <w:rPr>
                <w:rFonts w:cstheme="minorHAnsi"/>
                <w:b/>
                <w:sz w:val="20"/>
                <w:szCs w:val="20"/>
                <w:lang w:eastAsia="pl-PL"/>
              </w:rPr>
              <w:t>30.01.2025</w:t>
            </w:r>
            <w:r w:rsidRPr="008B68BE">
              <w:rPr>
                <w:rFonts w:cstheme="minorHAnsi"/>
                <w:b/>
                <w:sz w:val="20"/>
                <w:szCs w:val="20"/>
                <w:lang w:eastAsia="pl-PL"/>
              </w:rPr>
              <w:t xml:space="preserve"> r.)</w:t>
            </w:r>
          </w:p>
        </w:tc>
      </w:tr>
      <w:tr w:rsidR="001C4E87" w:rsidRPr="00D87969" w14:paraId="4E9A7412" w14:textId="77777777" w:rsidTr="00B919AF">
        <w:trPr>
          <w:jc w:val="center"/>
        </w:trPr>
        <w:tc>
          <w:tcPr>
            <w:tcW w:w="13994" w:type="dxa"/>
            <w:gridSpan w:val="5"/>
            <w:shd w:val="clear" w:color="auto" w:fill="A6A6A6" w:themeFill="background1" w:themeFillShade="A6"/>
          </w:tcPr>
          <w:p w14:paraId="14DF1E4F" w14:textId="0CB353AB" w:rsidR="00865AF4" w:rsidRPr="00BE469D" w:rsidRDefault="00BE469D" w:rsidP="008B68BE">
            <w:pPr>
              <w:spacing w:before="120" w:after="120"/>
              <w:jc w:val="center"/>
              <w:rPr>
                <w:rFonts w:cstheme="minorHAnsi"/>
                <w:b/>
                <w:i/>
                <w:sz w:val="40"/>
                <w:szCs w:val="40"/>
              </w:rPr>
            </w:pPr>
            <w:r w:rsidRPr="00BE469D">
              <w:rPr>
                <w:rFonts w:cstheme="minorHAnsi"/>
                <w:b/>
                <w:sz w:val="40"/>
                <w:szCs w:val="40"/>
              </w:rPr>
              <w:t>UWAGI KRYTYCZNE DO PROJEKTU USTAWY</w:t>
            </w:r>
          </w:p>
        </w:tc>
      </w:tr>
      <w:tr w:rsidR="001C4E87" w:rsidRPr="00D87969" w14:paraId="3A85CEF3" w14:textId="77777777" w:rsidTr="00B241C8">
        <w:trPr>
          <w:jc w:val="center"/>
        </w:trPr>
        <w:tc>
          <w:tcPr>
            <w:tcW w:w="562" w:type="dxa"/>
          </w:tcPr>
          <w:p w14:paraId="640AA766" w14:textId="6CF4493D" w:rsidR="00D53619" w:rsidRPr="00D87969" w:rsidRDefault="00252F32" w:rsidP="00F43ABB">
            <w:pPr>
              <w:spacing w:before="120"/>
              <w:ind w:right="-534"/>
              <w:jc w:val="both"/>
              <w:rPr>
                <w:rFonts w:ascii="Times New Roman" w:hAnsi="Times New Roman" w:cs="Times New Roman"/>
                <w:bCs/>
              </w:rPr>
            </w:pPr>
            <w:r w:rsidRPr="00D87969">
              <w:rPr>
                <w:rFonts w:ascii="Times New Roman" w:hAnsi="Times New Roman" w:cs="Times New Roman"/>
                <w:bCs/>
              </w:rPr>
              <w:t>1.</w:t>
            </w:r>
          </w:p>
        </w:tc>
        <w:tc>
          <w:tcPr>
            <w:tcW w:w="1843" w:type="dxa"/>
            <w:vAlign w:val="center"/>
          </w:tcPr>
          <w:p w14:paraId="07C4D205" w14:textId="1A5DB6FB" w:rsidR="00D53619" w:rsidRPr="00D74495" w:rsidRDefault="00D74495" w:rsidP="00F43ABB">
            <w:pPr>
              <w:spacing w:before="120" w:after="120"/>
              <w:jc w:val="both"/>
              <w:rPr>
                <w:rFonts w:cstheme="minorHAnsi"/>
                <w:bCs/>
              </w:rPr>
            </w:pPr>
            <w:r w:rsidRPr="00D74495">
              <w:rPr>
                <w:rFonts w:cstheme="minorHAnsi"/>
                <w:bCs/>
                <w:color w:val="FF0000"/>
              </w:rPr>
              <w:t>JAN KOWALSKI</w:t>
            </w:r>
          </w:p>
        </w:tc>
        <w:tc>
          <w:tcPr>
            <w:tcW w:w="1843" w:type="dxa"/>
            <w:vAlign w:val="center"/>
          </w:tcPr>
          <w:p w14:paraId="24B9B4C1" w14:textId="795278A9" w:rsidR="00D53619" w:rsidRPr="00D87969" w:rsidRDefault="00D53619" w:rsidP="00F43ABB">
            <w:pPr>
              <w:spacing w:before="120" w:after="120"/>
              <w:jc w:val="both"/>
              <w:rPr>
                <w:rFonts w:ascii="Times New Roman" w:hAnsi="Times New Roman" w:cs="Times New Roman"/>
                <w:bCs/>
              </w:rPr>
            </w:pPr>
          </w:p>
        </w:tc>
        <w:tc>
          <w:tcPr>
            <w:tcW w:w="5670" w:type="dxa"/>
            <w:vAlign w:val="center"/>
          </w:tcPr>
          <w:p w14:paraId="56A005DE" w14:textId="516F9094" w:rsidR="00897465" w:rsidRDefault="007D1B65" w:rsidP="00897465">
            <w:pPr>
              <w:jc w:val="both"/>
              <w:rPr>
                <w:rFonts w:eastAsia="Open Sans Light" w:cstheme="minorHAnsi"/>
                <w:bCs/>
                <w:sz w:val="28"/>
                <w:szCs w:val="28"/>
              </w:rPr>
            </w:pPr>
            <w:r w:rsidRPr="007D1B65">
              <w:rPr>
                <w:rFonts w:eastAsia="Open Sans Light" w:cstheme="minorHAnsi"/>
                <w:bCs/>
                <w:sz w:val="28"/>
                <w:szCs w:val="28"/>
              </w:rPr>
              <w:t xml:space="preserve">Projekt ustawy wprowadza rozwiązania sprzeczne z dyrektywą UE 93/13 i </w:t>
            </w:r>
            <w:r w:rsidR="00897465">
              <w:rPr>
                <w:rFonts w:eastAsia="Open Sans Light" w:cstheme="minorHAnsi"/>
                <w:bCs/>
                <w:sz w:val="28"/>
                <w:szCs w:val="28"/>
              </w:rPr>
              <w:t>sprzeczne z orzecznictwem</w:t>
            </w:r>
            <w:r w:rsidRPr="007D1B65">
              <w:rPr>
                <w:rFonts w:eastAsia="Open Sans Light" w:cstheme="minorHAnsi"/>
                <w:bCs/>
                <w:sz w:val="28"/>
                <w:szCs w:val="28"/>
              </w:rPr>
              <w:t xml:space="preserve"> TSUE</w:t>
            </w:r>
            <w:r w:rsidR="00897465">
              <w:rPr>
                <w:rFonts w:eastAsia="Open Sans Light" w:cstheme="minorHAnsi"/>
                <w:bCs/>
                <w:sz w:val="28"/>
                <w:szCs w:val="28"/>
              </w:rPr>
              <w:t>, w szczególności z wyrokami:</w:t>
            </w:r>
            <w:r w:rsidR="009B7A82">
              <w:rPr>
                <w:rFonts w:eastAsia="Open Sans Light" w:cstheme="minorHAnsi"/>
                <w:bCs/>
                <w:sz w:val="28"/>
                <w:szCs w:val="28"/>
              </w:rPr>
              <w:t xml:space="preserve"> C-35/22, C-224/19 - C-259/19, C-385/20.</w:t>
            </w:r>
          </w:p>
          <w:p w14:paraId="1EEB1567" w14:textId="113B180B" w:rsidR="000002F3" w:rsidRDefault="009B7A82" w:rsidP="00F43ABB">
            <w:pPr>
              <w:jc w:val="both"/>
              <w:rPr>
                <w:rFonts w:eastAsia="Open Sans Light" w:cstheme="minorHAnsi"/>
                <w:bCs/>
                <w:sz w:val="28"/>
                <w:szCs w:val="28"/>
              </w:rPr>
            </w:pPr>
            <w:r>
              <w:rPr>
                <w:rFonts w:eastAsia="Open Sans Light" w:cstheme="minorHAnsi"/>
                <w:bCs/>
                <w:sz w:val="28"/>
                <w:szCs w:val="28"/>
              </w:rPr>
              <w:t>W</w:t>
            </w:r>
            <w:r w:rsidRPr="009B7A82">
              <w:rPr>
                <w:rFonts w:eastAsia="Open Sans Light" w:cstheme="minorHAnsi"/>
                <w:bCs/>
                <w:sz w:val="28"/>
                <w:szCs w:val="28"/>
              </w:rPr>
              <w:t xml:space="preserve">prowadzenie ustawy, która odbiega od dotychczasowych rozwiązań proceduralnych wprowadzi tylko kolejną rozbieżność orzecznictwa i zwiększy ilość apelacji, zamiast je ukrócić. </w:t>
            </w:r>
          </w:p>
          <w:p w14:paraId="035806AA" w14:textId="09003FAE" w:rsidR="00BE469D" w:rsidRPr="007D1B65" w:rsidRDefault="00BE469D" w:rsidP="00F43ABB">
            <w:pPr>
              <w:jc w:val="both"/>
              <w:rPr>
                <w:rFonts w:eastAsia="Open Sans Light" w:cstheme="minorHAnsi"/>
                <w:bCs/>
                <w:sz w:val="28"/>
                <w:szCs w:val="28"/>
              </w:rPr>
            </w:pPr>
          </w:p>
        </w:tc>
        <w:tc>
          <w:tcPr>
            <w:tcW w:w="4076" w:type="dxa"/>
          </w:tcPr>
          <w:p w14:paraId="63046439" w14:textId="571AB94F" w:rsidR="009B5AD3" w:rsidRPr="00D87969" w:rsidRDefault="009B5AD3" w:rsidP="00F43ABB">
            <w:pPr>
              <w:autoSpaceDE w:val="0"/>
              <w:autoSpaceDN w:val="0"/>
              <w:adjustRightInd w:val="0"/>
              <w:jc w:val="both"/>
              <w:rPr>
                <w:rFonts w:ascii="Times New Roman" w:eastAsia="Times New Roman" w:hAnsi="Times New Roman" w:cs="Times New Roman"/>
                <w:bCs/>
                <w:lang w:eastAsia="pl-PL"/>
              </w:rPr>
            </w:pPr>
          </w:p>
        </w:tc>
      </w:tr>
      <w:tr w:rsidR="001C4E87" w:rsidRPr="00D87969" w14:paraId="5A2AED4D" w14:textId="77777777" w:rsidTr="00B241C8">
        <w:trPr>
          <w:jc w:val="center"/>
        </w:trPr>
        <w:tc>
          <w:tcPr>
            <w:tcW w:w="562" w:type="dxa"/>
          </w:tcPr>
          <w:p w14:paraId="12824B63" w14:textId="17726F12" w:rsidR="00756A51" w:rsidRPr="00D87969" w:rsidRDefault="00252F32" w:rsidP="00F43ABB">
            <w:pPr>
              <w:spacing w:before="120"/>
              <w:ind w:right="-534"/>
              <w:jc w:val="both"/>
              <w:rPr>
                <w:rFonts w:ascii="Times New Roman" w:hAnsi="Times New Roman" w:cs="Times New Roman"/>
                <w:bCs/>
              </w:rPr>
            </w:pPr>
            <w:r w:rsidRPr="00D87969">
              <w:rPr>
                <w:rFonts w:ascii="Times New Roman" w:hAnsi="Times New Roman" w:cs="Times New Roman"/>
                <w:bCs/>
              </w:rPr>
              <w:t>2.</w:t>
            </w:r>
          </w:p>
        </w:tc>
        <w:tc>
          <w:tcPr>
            <w:tcW w:w="1843" w:type="dxa"/>
            <w:vAlign w:val="center"/>
          </w:tcPr>
          <w:p w14:paraId="2B92E1B1" w14:textId="3743E3E4" w:rsidR="00756A51" w:rsidRPr="00D87969" w:rsidRDefault="00756A51" w:rsidP="00F43ABB">
            <w:pPr>
              <w:spacing w:before="120" w:after="120"/>
              <w:jc w:val="both"/>
              <w:rPr>
                <w:rFonts w:ascii="Times New Roman" w:hAnsi="Times New Roman" w:cs="Times New Roman"/>
                <w:bCs/>
              </w:rPr>
            </w:pPr>
          </w:p>
        </w:tc>
        <w:tc>
          <w:tcPr>
            <w:tcW w:w="1843" w:type="dxa"/>
            <w:vAlign w:val="center"/>
          </w:tcPr>
          <w:p w14:paraId="3CE91D24" w14:textId="428A73A6" w:rsidR="00756A51" w:rsidRPr="00D87969" w:rsidRDefault="00756A51" w:rsidP="00F43ABB">
            <w:pPr>
              <w:spacing w:before="120" w:after="120"/>
              <w:jc w:val="both"/>
              <w:rPr>
                <w:rFonts w:ascii="Times New Roman" w:hAnsi="Times New Roman" w:cs="Times New Roman"/>
                <w:bCs/>
              </w:rPr>
            </w:pPr>
          </w:p>
        </w:tc>
        <w:tc>
          <w:tcPr>
            <w:tcW w:w="5670" w:type="dxa"/>
            <w:vAlign w:val="center"/>
          </w:tcPr>
          <w:p w14:paraId="3AEDFDBE" w14:textId="77777777" w:rsidR="00897465" w:rsidRDefault="0013373B" w:rsidP="00897465">
            <w:pPr>
              <w:jc w:val="both"/>
              <w:rPr>
                <w:rFonts w:eastAsia="Times New Roman" w:cstheme="minorHAnsi"/>
                <w:bCs/>
                <w:sz w:val="28"/>
                <w:szCs w:val="28"/>
                <w:lang w:eastAsia="pl-PL"/>
              </w:rPr>
            </w:pPr>
            <w:r w:rsidRPr="0013373B">
              <w:rPr>
                <w:rFonts w:eastAsia="Times New Roman" w:cstheme="minorHAnsi"/>
                <w:bCs/>
                <w:sz w:val="28"/>
                <w:szCs w:val="28"/>
                <w:lang w:eastAsia="pl-PL"/>
              </w:rPr>
              <w:t>Sąd zostanie obciążony obliczaniem wzajemnych roszczeń w wyroku - do tej pory sprawy obliczenia wzajemnych roszczeń udawało się w większości zamknąć poza sądem, wystarczyło, że sąd stwierdził nieważność umow</w:t>
            </w:r>
            <w:r w:rsidR="00897465">
              <w:rPr>
                <w:rFonts w:eastAsia="Times New Roman" w:cstheme="minorHAnsi"/>
                <w:bCs/>
                <w:sz w:val="28"/>
                <w:szCs w:val="28"/>
                <w:lang w:eastAsia="pl-PL"/>
              </w:rPr>
              <w:t xml:space="preserve">y, zaś całą kwestię rozliczenia wzajemnych świadczeń stron uzgadniali samodzielnie pełnomocnicy stron. Ustawodawca przerzuca na sąd nawet kwestię liczenia odsetek. Nadto, </w:t>
            </w:r>
            <w:r w:rsidR="00897465">
              <w:rPr>
                <w:rFonts w:eastAsia="Times New Roman" w:cstheme="minorHAnsi"/>
                <w:bCs/>
                <w:sz w:val="28"/>
                <w:szCs w:val="28"/>
                <w:lang w:eastAsia="pl-PL"/>
              </w:rPr>
              <w:lastRenderedPageBreak/>
              <w:t>przerzucając kwestię rozliczeń świadczeń wzajemnych na sąd, ustawodawca nie daje sądom podstawy prawnej do ustalenia kursu przeliczeniowego waluty obcej, jeżeli kompensacji podlega wierzytelność wyrażona w CHF. W przepisach istnieje art. 358 § 2 i § 3 kc i wybór w tym zakresie należy do wierzyciela, czyli konsumenta. Milczenie ustawodawcy może doprowadzić do rozbieżności w praktyce.</w:t>
            </w:r>
          </w:p>
          <w:p w14:paraId="66DB719B" w14:textId="572C412E" w:rsidR="0013373B" w:rsidRPr="0013373B" w:rsidRDefault="00897465" w:rsidP="00897465">
            <w:pPr>
              <w:jc w:val="both"/>
              <w:rPr>
                <w:rFonts w:eastAsia="Times New Roman" w:cstheme="minorHAnsi"/>
                <w:bCs/>
                <w:sz w:val="28"/>
                <w:szCs w:val="28"/>
                <w:lang w:eastAsia="pl-PL"/>
              </w:rPr>
            </w:pPr>
            <w:r>
              <w:rPr>
                <w:rFonts w:eastAsia="Times New Roman" w:cstheme="minorHAnsi"/>
                <w:bCs/>
                <w:sz w:val="28"/>
                <w:szCs w:val="28"/>
                <w:lang w:eastAsia="pl-PL"/>
              </w:rPr>
              <w:t>Nadto, rozliczenie wzajemnych świadczeń stron następuje w wyroku nieprawomocnym, co przeczy zasadzie, że sąd bierze stan na datę orzekania. Takie rozwiązanie godzi wprost w uprawnienia konsumenta, bo bank może zaskarżyć wyrok, a wyrok nieprawomocny już pozbawił konsumenta prawa do odsetek czy kosztów procesu. Wierzyciel nie musi korzystać z natychmiastowej wykonalności wyroków, więc rozwiązanie pozostaje nielogiczne i niespójne z całokształtem zasad proceduralnych.</w:t>
            </w:r>
          </w:p>
          <w:p w14:paraId="560FBFC0" w14:textId="54838EA1" w:rsidR="00756A51" w:rsidRPr="007D1B65" w:rsidRDefault="00756A51" w:rsidP="007D1B65">
            <w:pPr>
              <w:jc w:val="both"/>
              <w:rPr>
                <w:rFonts w:eastAsia="Times New Roman" w:cstheme="minorHAnsi"/>
                <w:bCs/>
                <w:sz w:val="28"/>
                <w:szCs w:val="28"/>
                <w:lang w:eastAsia="pl-PL"/>
              </w:rPr>
            </w:pPr>
          </w:p>
        </w:tc>
        <w:tc>
          <w:tcPr>
            <w:tcW w:w="4076" w:type="dxa"/>
          </w:tcPr>
          <w:p w14:paraId="353C0224" w14:textId="5603A2D5" w:rsidR="007F4AAF" w:rsidRPr="00D87969" w:rsidRDefault="007F4AAF" w:rsidP="00F43ABB">
            <w:pPr>
              <w:spacing w:before="120"/>
              <w:jc w:val="both"/>
              <w:rPr>
                <w:rFonts w:ascii="Times New Roman" w:hAnsi="Times New Roman" w:cs="Times New Roman"/>
                <w:bCs/>
              </w:rPr>
            </w:pPr>
          </w:p>
        </w:tc>
      </w:tr>
      <w:tr w:rsidR="007D1B65" w:rsidRPr="00D87969" w14:paraId="4331EEF6" w14:textId="77777777" w:rsidTr="00B241C8">
        <w:trPr>
          <w:jc w:val="center"/>
        </w:trPr>
        <w:tc>
          <w:tcPr>
            <w:tcW w:w="562" w:type="dxa"/>
          </w:tcPr>
          <w:p w14:paraId="501CE32A" w14:textId="30697834" w:rsidR="007D1B65" w:rsidRPr="00D87969" w:rsidRDefault="007D1B65" w:rsidP="007D1B65">
            <w:pPr>
              <w:spacing w:before="120"/>
              <w:ind w:right="-534"/>
              <w:jc w:val="both"/>
              <w:rPr>
                <w:rFonts w:ascii="Times New Roman" w:hAnsi="Times New Roman" w:cs="Times New Roman"/>
                <w:bCs/>
              </w:rPr>
            </w:pPr>
            <w:r w:rsidRPr="00D87969">
              <w:rPr>
                <w:rFonts w:ascii="Times New Roman" w:hAnsi="Times New Roman" w:cs="Times New Roman"/>
                <w:bCs/>
              </w:rPr>
              <w:t>3.</w:t>
            </w:r>
          </w:p>
        </w:tc>
        <w:tc>
          <w:tcPr>
            <w:tcW w:w="1843" w:type="dxa"/>
            <w:vAlign w:val="center"/>
          </w:tcPr>
          <w:p w14:paraId="7F439E1E" w14:textId="41FEBB6B" w:rsidR="007D1B65" w:rsidRPr="00D87969" w:rsidRDefault="007D1B65" w:rsidP="007D1B65">
            <w:pPr>
              <w:spacing w:before="120" w:after="120"/>
              <w:jc w:val="both"/>
              <w:rPr>
                <w:rFonts w:ascii="Times New Roman" w:hAnsi="Times New Roman" w:cs="Times New Roman"/>
                <w:bCs/>
              </w:rPr>
            </w:pPr>
          </w:p>
        </w:tc>
        <w:tc>
          <w:tcPr>
            <w:tcW w:w="1843" w:type="dxa"/>
            <w:vAlign w:val="center"/>
          </w:tcPr>
          <w:p w14:paraId="6015D943" w14:textId="60DE0F53"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5B0AD8B3" w14:textId="7FAC98B5" w:rsidR="007D1B65" w:rsidRPr="007D1B65" w:rsidRDefault="007D1B65" w:rsidP="007D1B65">
            <w:pPr>
              <w:pStyle w:val="Style7"/>
              <w:spacing w:before="103" w:line="240" w:lineRule="auto"/>
              <w:ind w:right="115" w:firstLine="0"/>
              <w:rPr>
                <w:rFonts w:asciiTheme="minorHAnsi" w:hAnsiTheme="minorHAnsi" w:cstheme="minorHAnsi"/>
                <w:bCs/>
                <w:noProof/>
                <w:sz w:val="28"/>
                <w:szCs w:val="28"/>
              </w:rPr>
            </w:pPr>
            <w:r w:rsidRPr="007D1B65">
              <w:rPr>
                <w:rFonts w:asciiTheme="minorHAnsi" w:hAnsiTheme="minorHAnsi" w:cstheme="minorHAnsi"/>
                <w:bCs/>
                <w:noProof/>
                <w:sz w:val="28"/>
                <w:szCs w:val="28"/>
              </w:rPr>
              <w:t xml:space="preserve">Konieczność obliczania należności przez sąd, co wprowadza </w:t>
            </w:r>
            <w:r w:rsidR="00897465">
              <w:rPr>
                <w:rFonts w:asciiTheme="minorHAnsi" w:hAnsiTheme="minorHAnsi" w:cstheme="minorHAnsi"/>
                <w:bCs/>
                <w:noProof/>
                <w:sz w:val="28"/>
                <w:szCs w:val="28"/>
              </w:rPr>
              <w:t xml:space="preserve">realne </w:t>
            </w:r>
            <w:r w:rsidRPr="007D1B65">
              <w:rPr>
                <w:rFonts w:asciiTheme="minorHAnsi" w:hAnsiTheme="minorHAnsi" w:cstheme="minorHAnsi"/>
                <w:bCs/>
                <w:noProof/>
                <w:sz w:val="28"/>
                <w:szCs w:val="28"/>
              </w:rPr>
              <w:t xml:space="preserve">ryzyko wydłużenia spraw, ma na celu obcięcie dla konsumenta należnych </w:t>
            </w:r>
            <w:r w:rsidRPr="007D1B65">
              <w:rPr>
                <w:rFonts w:asciiTheme="minorHAnsi" w:hAnsiTheme="minorHAnsi" w:cstheme="minorHAnsi"/>
                <w:bCs/>
                <w:noProof/>
                <w:sz w:val="28"/>
                <w:szCs w:val="28"/>
              </w:rPr>
              <w:lastRenderedPageBreak/>
              <w:t>mu odsetek oraz pozbawienie go prawa do pokrycia przez bank kosztów procesu</w:t>
            </w:r>
            <w:r w:rsidR="00897465">
              <w:rPr>
                <w:rFonts w:asciiTheme="minorHAnsi" w:hAnsiTheme="minorHAnsi" w:cstheme="minorHAnsi"/>
                <w:bCs/>
                <w:noProof/>
                <w:sz w:val="28"/>
                <w:szCs w:val="28"/>
              </w:rPr>
              <w:t>, niestety ale projekt ustawy w kwestiach kluczowych dla konsumenta pomija milczeniem sposób rozliczenia wzajemnych roszczeń, co więcej mówi  o odsetkach stron, czyli też odsetkach dla banku od warunkowego wniosku, co stoi w kontrze nie tylko do orzecznictwa TSUE, ale również krajowego, gdyż w ostatnio pojawiających się orzeczeniach SN jak i sądów powszechnych zaczyna krystalizować się linia orzecznicza, że bank swoimi warunkowymi wezwaniami czy pozwami nie może ograniczyć praw konsumenta np. do odsetek.</w:t>
            </w:r>
          </w:p>
          <w:p w14:paraId="413CBCA0" w14:textId="1AAB87CC" w:rsidR="007D1B65" w:rsidRPr="007D1B65" w:rsidRDefault="007D1B65" w:rsidP="007D1B65">
            <w:pPr>
              <w:pStyle w:val="Style7"/>
              <w:widowControl/>
              <w:spacing w:before="103" w:line="240" w:lineRule="auto"/>
              <w:ind w:right="115" w:firstLine="0"/>
              <w:rPr>
                <w:rFonts w:asciiTheme="minorHAnsi" w:hAnsiTheme="minorHAnsi" w:cstheme="minorHAnsi"/>
                <w:bCs/>
                <w:noProof/>
                <w:sz w:val="28"/>
                <w:szCs w:val="28"/>
              </w:rPr>
            </w:pPr>
          </w:p>
        </w:tc>
        <w:tc>
          <w:tcPr>
            <w:tcW w:w="4076" w:type="dxa"/>
          </w:tcPr>
          <w:p w14:paraId="521D256F" w14:textId="0B3BF71F" w:rsidR="007D1B65" w:rsidRPr="00D87969" w:rsidRDefault="007D1B65" w:rsidP="007D1B65">
            <w:pPr>
              <w:jc w:val="both"/>
              <w:rPr>
                <w:rFonts w:ascii="Times New Roman" w:hAnsi="Times New Roman" w:cs="Times New Roman"/>
                <w:b/>
              </w:rPr>
            </w:pPr>
          </w:p>
        </w:tc>
      </w:tr>
      <w:tr w:rsidR="007D1B65" w:rsidRPr="00D87969" w14:paraId="76B566BD" w14:textId="77777777" w:rsidTr="00B241C8">
        <w:trPr>
          <w:jc w:val="center"/>
        </w:trPr>
        <w:tc>
          <w:tcPr>
            <w:tcW w:w="562" w:type="dxa"/>
          </w:tcPr>
          <w:p w14:paraId="58581615" w14:textId="433849E7" w:rsidR="007D1B65" w:rsidRPr="00D87969" w:rsidRDefault="007D1B65" w:rsidP="007D1B65">
            <w:pPr>
              <w:spacing w:before="120"/>
              <w:ind w:right="-534"/>
              <w:jc w:val="both"/>
              <w:rPr>
                <w:rFonts w:ascii="Times New Roman" w:hAnsi="Times New Roman" w:cs="Times New Roman"/>
                <w:bCs/>
              </w:rPr>
            </w:pPr>
            <w:r w:rsidRPr="00D87969">
              <w:rPr>
                <w:rFonts w:ascii="Times New Roman" w:hAnsi="Times New Roman" w:cs="Times New Roman"/>
                <w:bCs/>
              </w:rPr>
              <w:t>4.</w:t>
            </w:r>
          </w:p>
        </w:tc>
        <w:tc>
          <w:tcPr>
            <w:tcW w:w="1843" w:type="dxa"/>
            <w:vAlign w:val="center"/>
          </w:tcPr>
          <w:p w14:paraId="46541BBD" w14:textId="4D1D9BE3" w:rsidR="007D1B65" w:rsidRPr="00D87969" w:rsidRDefault="007D1B65" w:rsidP="007D1B65">
            <w:pPr>
              <w:spacing w:before="120" w:after="120"/>
              <w:jc w:val="both"/>
              <w:rPr>
                <w:rStyle w:val="FontStyle16"/>
              </w:rPr>
            </w:pPr>
          </w:p>
        </w:tc>
        <w:tc>
          <w:tcPr>
            <w:tcW w:w="1843" w:type="dxa"/>
            <w:vAlign w:val="center"/>
          </w:tcPr>
          <w:p w14:paraId="23B90205" w14:textId="2219A6B8"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74DF9B4C" w14:textId="2B7D77D1" w:rsidR="007D1B65" w:rsidRPr="007D1B65" w:rsidRDefault="007D1B65" w:rsidP="007D1B65">
            <w:pPr>
              <w:pStyle w:val="Style7"/>
              <w:spacing w:before="103" w:line="240" w:lineRule="auto"/>
              <w:ind w:right="115" w:firstLine="0"/>
              <w:rPr>
                <w:rFonts w:asciiTheme="minorHAnsi" w:hAnsiTheme="minorHAnsi" w:cstheme="minorHAnsi"/>
                <w:bCs/>
                <w:noProof/>
                <w:sz w:val="28"/>
                <w:szCs w:val="28"/>
              </w:rPr>
            </w:pPr>
            <w:r w:rsidRPr="007D1B65">
              <w:rPr>
                <w:rFonts w:asciiTheme="minorHAnsi" w:hAnsiTheme="minorHAnsi" w:cstheme="minorHAnsi"/>
                <w:bCs/>
                <w:noProof/>
                <w:sz w:val="28"/>
                <w:szCs w:val="28"/>
              </w:rPr>
              <w:t xml:space="preserve">Banki dostaną specjalne uprawnienia i zachęty do kierowania konsumentów do sądu - jak zgłaszanie wniosku o rozliczenie nieważnej umowy w każdym etapie sprawy, (które kosztuje o 50% mniej niż każdego innego przedsiębiorcę) czy zgłaszanie zarzutu potrącenia do końca II instancji - podczas gdy każdy obywatel i każdy inni uczciwy przedsiębiorca ma limity procesowe w </w:t>
            </w:r>
            <w:r w:rsidRPr="007D1B65">
              <w:rPr>
                <w:rFonts w:asciiTheme="minorHAnsi" w:hAnsiTheme="minorHAnsi" w:cstheme="minorHAnsi"/>
                <w:bCs/>
                <w:noProof/>
                <w:sz w:val="28"/>
                <w:szCs w:val="28"/>
              </w:rPr>
              <w:lastRenderedPageBreak/>
              <w:t>zgłaszaniu zarzutu potrącenia czy wytaczania pozwów wzajemnych; finalnie przedsiębiorcy nieuczciwi będą mieć lepsze uprawnienia niż przedsiębiorcy uczciw</w:t>
            </w:r>
            <w:r w:rsidR="00F2324B">
              <w:rPr>
                <w:rFonts w:asciiTheme="minorHAnsi" w:hAnsiTheme="minorHAnsi" w:cstheme="minorHAnsi"/>
                <w:bCs/>
                <w:noProof/>
                <w:sz w:val="28"/>
                <w:szCs w:val="28"/>
              </w:rPr>
              <w:t>i</w:t>
            </w:r>
            <w:r w:rsidRPr="007D1B65">
              <w:rPr>
                <w:rFonts w:asciiTheme="minorHAnsi" w:hAnsiTheme="minorHAnsi" w:cstheme="minorHAnsi"/>
                <w:bCs/>
                <w:noProof/>
                <w:sz w:val="28"/>
                <w:szCs w:val="28"/>
              </w:rPr>
              <w:t>,</w:t>
            </w:r>
            <w:r w:rsidR="00F2324B">
              <w:rPr>
                <w:rFonts w:asciiTheme="minorHAnsi" w:hAnsiTheme="minorHAnsi" w:cstheme="minorHAnsi"/>
                <w:bCs/>
                <w:noProof/>
                <w:sz w:val="28"/>
                <w:szCs w:val="28"/>
              </w:rPr>
              <w:t xml:space="preserve"> co pozostaje w oczywistej sprzeczności z </w:t>
            </w:r>
            <w:r w:rsidRPr="007D1B65">
              <w:rPr>
                <w:rFonts w:asciiTheme="minorHAnsi" w:hAnsiTheme="minorHAnsi" w:cstheme="minorHAnsi"/>
                <w:bCs/>
                <w:noProof/>
                <w:sz w:val="28"/>
                <w:szCs w:val="28"/>
              </w:rPr>
              <w:t>dyrektyw</w:t>
            </w:r>
            <w:r w:rsidR="00F2324B">
              <w:rPr>
                <w:rFonts w:asciiTheme="minorHAnsi" w:hAnsiTheme="minorHAnsi" w:cstheme="minorHAnsi"/>
                <w:bCs/>
                <w:noProof/>
                <w:sz w:val="28"/>
                <w:szCs w:val="28"/>
              </w:rPr>
              <w:t>ą</w:t>
            </w:r>
            <w:r w:rsidRPr="007D1B65">
              <w:rPr>
                <w:rFonts w:asciiTheme="minorHAnsi" w:hAnsiTheme="minorHAnsi" w:cstheme="minorHAnsi"/>
                <w:bCs/>
                <w:noProof/>
                <w:sz w:val="28"/>
                <w:szCs w:val="28"/>
              </w:rPr>
              <w:t xml:space="preserve"> 93/13</w:t>
            </w:r>
            <w:r w:rsidR="00F2324B">
              <w:rPr>
                <w:rFonts w:asciiTheme="minorHAnsi" w:hAnsiTheme="minorHAnsi" w:cstheme="minorHAnsi"/>
                <w:bCs/>
                <w:noProof/>
                <w:sz w:val="28"/>
                <w:szCs w:val="28"/>
              </w:rPr>
              <w:t>, która</w:t>
            </w:r>
            <w:r w:rsidRPr="007D1B65">
              <w:rPr>
                <w:rFonts w:asciiTheme="minorHAnsi" w:hAnsiTheme="minorHAnsi" w:cstheme="minorHAnsi"/>
                <w:bCs/>
                <w:noProof/>
                <w:sz w:val="28"/>
                <w:szCs w:val="28"/>
              </w:rPr>
              <w:t xml:space="preserve"> chroni nie tylko konsumentów, ale też dba o uczciwą konkurencję na rynku;</w:t>
            </w:r>
          </w:p>
          <w:p w14:paraId="0B8F43ED" w14:textId="171B81D0" w:rsidR="007D1B65" w:rsidRPr="007D1B65" w:rsidRDefault="007D1B65" w:rsidP="007D1B65">
            <w:pPr>
              <w:jc w:val="both"/>
              <w:rPr>
                <w:rStyle w:val="FontStyle16"/>
                <w:rFonts w:asciiTheme="minorHAnsi" w:hAnsiTheme="minorHAnsi" w:cstheme="minorHAnsi"/>
                <w:sz w:val="28"/>
                <w:szCs w:val="28"/>
              </w:rPr>
            </w:pPr>
          </w:p>
        </w:tc>
        <w:tc>
          <w:tcPr>
            <w:tcW w:w="4076" w:type="dxa"/>
          </w:tcPr>
          <w:p w14:paraId="122D80DD" w14:textId="661FBE25" w:rsidR="007D1B65" w:rsidRPr="00D87969" w:rsidRDefault="007D1B65" w:rsidP="007D1B65">
            <w:pPr>
              <w:spacing w:before="120"/>
              <w:jc w:val="both"/>
              <w:rPr>
                <w:rFonts w:ascii="Times New Roman" w:hAnsi="Times New Roman" w:cs="Times New Roman"/>
                <w:bCs/>
              </w:rPr>
            </w:pPr>
          </w:p>
        </w:tc>
      </w:tr>
      <w:tr w:rsidR="007D1B65" w:rsidRPr="00D87969" w14:paraId="042404FA" w14:textId="77777777" w:rsidTr="00B241C8">
        <w:trPr>
          <w:jc w:val="center"/>
        </w:trPr>
        <w:tc>
          <w:tcPr>
            <w:tcW w:w="562" w:type="dxa"/>
          </w:tcPr>
          <w:p w14:paraId="05FC099D" w14:textId="4B617F3E"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5</w:t>
            </w:r>
          </w:p>
        </w:tc>
        <w:tc>
          <w:tcPr>
            <w:tcW w:w="1843" w:type="dxa"/>
            <w:vAlign w:val="center"/>
          </w:tcPr>
          <w:p w14:paraId="310979E4" w14:textId="77777777" w:rsidR="007D1B65" w:rsidRPr="00D87969" w:rsidRDefault="007D1B65" w:rsidP="007D1B65">
            <w:pPr>
              <w:spacing w:before="120" w:after="120"/>
              <w:jc w:val="both"/>
              <w:rPr>
                <w:rStyle w:val="FontStyle16"/>
              </w:rPr>
            </w:pPr>
          </w:p>
        </w:tc>
        <w:tc>
          <w:tcPr>
            <w:tcW w:w="1843" w:type="dxa"/>
            <w:vAlign w:val="center"/>
          </w:tcPr>
          <w:p w14:paraId="5395FFF6" w14:textId="77777777"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6233712B" w14:textId="33CEEF8A" w:rsidR="007D1B65" w:rsidRPr="007D1B65" w:rsidRDefault="007D1B65" w:rsidP="007D1B65">
            <w:pPr>
              <w:jc w:val="both"/>
              <w:rPr>
                <w:rStyle w:val="FontStyle16"/>
                <w:rFonts w:asciiTheme="minorHAnsi" w:hAnsiTheme="minorHAnsi" w:cstheme="minorHAnsi"/>
                <w:sz w:val="28"/>
                <w:szCs w:val="28"/>
              </w:rPr>
            </w:pPr>
            <w:r w:rsidRPr="007D1B65">
              <w:rPr>
                <w:rStyle w:val="FontStyle16"/>
                <w:rFonts w:asciiTheme="minorHAnsi" w:hAnsiTheme="minorHAnsi" w:cstheme="minorHAnsi"/>
                <w:sz w:val="28"/>
                <w:szCs w:val="28"/>
              </w:rPr>
              <w:t xml:space="preserve">Z pozwów banków spełniających kryteria tzw. </w:t>
            </w:r>
            <w:proofErr w:type="spellStart"/>
            <w:r w:rsidRPr="007D1B65">
              <w:rPr>
                <w:rStyle w:val="FontStyle16"/>
                <w:rFonts w:asciiTheme="minorHAnsi" w:hAnsiTheme="minorHAnsi" w:cstheme="minorHAnsi"/>
                <w:sz w:val="28"/>
                <w:szCs w:val="28"/>
              </w:rPr>
              <w:t>SLAPPów</w:t>
            </w:r>
            <w:proofErr w:type="spellEnd"/>
            <w:r w:rsidR="00F2324B">
              <w:rPr>
                <w:rStyle w:val="FontStyle16"/>
                <w:rFonts w:asciiTheme="minorHAnsi" w:hAnsiTheme="minorHAnsi" w:cstheme="minorHAnsi"/>
                <w:sz w:val="28"/>
                <w:szCs w:val="28"/>
              </w:rPr>
              <w:t xml:space="preserve"> projekt ustawy </w:t>
            </w:r>
            <w:r w:rsidRPr="007D1B65">
              <w:rPr>
                <w:rStyle w:val="FontStyle16"/>
                <w:rFonts w:asciiTheme="minorHAnsi" w:hAnsiTheme="minorHAnsi" w:cstheme="minorHAnsi"/>
                <w:sz w:val="28"/>
                <w:szCs w:val="28"/>
              </w:rPr>
              <w:t>robi legalną instytucję procesową - banki mogą warunkowo zgłaszać swoje roszczenia, ze skutkiem nawet nabywania praw do odsetek i kosztów procesu - tzw. wniosek o rozliczenie na wypadek nieważności umowy przeczy podstawowym zasadom na jakich opiera się prawo procesowe;</w:t>
            </w:r>
          </w:p>
          <w:p w14:paraId="3C895BEE" w14:textId="50233079" w:rsidR="007D1B65" w:rsidRPr="007D1B65" w:rsidRDefault="007D1B65" w:rsidP="007D1B65">
            <w:pPr>
              <w:jc w:val="both"/>
              <w:rPr>
                <w:rStyle w:val="FontStyle16"/>
                <w:rFonts w:asciiTheme="minorHAnsi" w:hAnsiTheme="minorHAnsi" w:cstheme="minorHAnsi"/>
                <w:sz w:val="28"/>
                <w:szCs w:val="28"/>
              </w:rPr>
            </w:pPr>
          </w:p>
        </w:tc>
        <w:tc>
          <w:tcPr>
            <w:tcW w:w="4076" w:type="dxa"/>
          </w:tcPr>
          <w:p w14:paraId="7C9891F3" w14:textId="77777777" w:rsidR="007D1B65" w:rsidRPr="00D87969" w:rsidRDefault="007D1B65" w:rsidP="007D1B65">
            <w:pPr>
              <w:spacing w:before="120"/>
              <w:jc w:val="both"/>
              <w:rPr>
                <w:rFonts w:ascii="Times New Roman" w:hAnsi="Times New Roman" w:cs="Times New Roman"/>
                <w:bCs/>
              </w:rPr>
            </w:pPr>
          </w:p>
        </w:tc>
      </w:tr>
      <w:tr w:rsidR="007D1B65" w:rsidRPr="00D87969" w14:paraId="78B0ADB4" w14:textId="77777777" w:rsidTr="00B241C8">
        <w:trPr>
          <w:jc w:val="center"/>
        </w:trPr>
        <w:tc>
          <w:tcPr>
            <w:tcW w:w="562" w:type="dxa"/>
          </w:tcPr>
          <w:p w14:paraId="6D99E094" w14:textId="765B4543"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6</w:t>
            </w:r>
          </w:p>
        </w:tc>
        <w:tc>
          <w:tcPr>
            <w:tcW w:w="1843" w:type="dxa"/>
            <w:vAlign w:val="center"/>
          </w:tcPr>
          <w:p w14:paraId="43498EF1" w14:textId="77777777" w:rsidR="007D1B65" w:rsidRPr="00D87969" w:rsidRDefault="007D1B65" w:rsidP="007D1B65">
            <w:pPr>
              <w:spacing w:before="120" w:after="120"/>
              <w:jc w:val="both"/>
              <w:rPr>
                <w:rStyle w:val="FontStyle16"/>
              </w:rPr>
            </w:pPr>
          </w:p>
        </w:tc>
        <w:tc>
          <w:tcPr>
            <w:tcW w:w="1843" w:type="dxa"/>
            <w:vAlign w:val="center"/>
          </w:tcPr>
          <w:p w14:paraId="77FD9315" w14:textId="77777777"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03A9BAD0" w14:textId="7560B977" w:rsidR="007D1B65" w:rsidRPr="007D1B65" w:rsidRDefault="007D1B65" w:rsidP="007D1B65">
            <w:pPr>
              <w:jc w:val="both"/>
              <w:rPr>
                <w:rStyle w:val="FontStyle16"/>
                <w:rFonts w:asciiTheme="minorHAnsi" w:hAnsiTheme="minorHAnsi" w:cstheme="minorHAnsi"/>
                <w:sz w:val="28"/>
                <w:szCs w:val="28"/>
              </w:rPr>
            </w:pPr>
            <w:r w:rsidRPr="007D1B65">
              <w:rPr>
                <w:rStyle w:val="FontStyle16"/>
                <w:rFonts w:asciiTheme="minorHAnsi" w:hAnsiTheme="minorHAnsi" w:cstheme="minorHAnsi"/>
                <w:sz w:val="28"/>
                <w:szCs w:val="28"/>
              </w:rPr>
              <w:t xml:space="preserve">Finalnie banki mogą zostać zwolnione z ryzyka przegrania i przeciągania sprawy - nie będą musiały płacić odsetek na dotychczasowych zasadach, czy ponosić kosztów procesu, mimo wyroku TSUE, który nakazuje zwrot konsumentom kosztów procesu przez bank, bez względu na wzajemne rozliczenia, jeżeli </w:t>
            </w:r>
            <w:r w:rsidRPr="007D1B65">
              <w:rPr>
                <w:rStyle w:val="FontStyle16"/>
                <w:rFonts w:asciiTheme="minorHAnsi" w:hAnsiTheme="minorHAnsi" w:cstheme="minorHAnsi"/>
                <w:sz w:val="28"/>
                <w:szCs w:val="28"/>
              </w:rPr>
              <w:lastRenderedPageBreak/>
              <w:t>konsument wygrywa co do zasady i mimo wyroku TSUE, że konsumentowi należą się odsetki za czas, w którym bank kwestionuje jego roszczenia;</w:t>
            </w:r>
            <w:r w:rsidR="00F2324B">
              <w:rPr>
                <w:rStyle w:val="FontStyle16"/>
                <w:rFonts w:asciiTheme="minorHAnsi" w:hAnsiTheme="minorHAnsi" w:cstheme="minorHAnsi"/>
                <w:sz w:val="28"/>
                <w:szCs w:val="28"/>
              </w:rPr>
              <w:t xml:space="preserve"> wprowadzone nowe uprawnienia dla banków paradoksalnie, wbrew założeniom ustawodawcy, mogą działać zachęcająco dla banków na przedłużanie spraw i kreowanie przeciwnych roszczeń;</w:t>
            </w:r>
          </w:p>
          <w:p w14:paraId="56007D2C" w14:textId="0B9F47DA" w:rsidR="007D1B65" w:rsidRPr="007D1B65" w:rsidRDefault="007D1B65" w:rsidP="007D1B65">
            <w:pPr>
              <w:jc w:val="both"/>
              <w:rPr>
                <w:rStyle w:val="FontStyle16"/>
                <w:rFonts w:asciiTheme="minorHAnsi" w:hAnsiTheme="minorHAnsi" w:cstheme="minorHAnsi"/>
                <w:sz w:val="28"/>
                <w:szCs w:val="28"/>
              </w:rPr>
            </w:pPr>
          </w:p>
        </w:tc>
        <w:tc>
          <w:tcPr>
            <w:tcW w:w="4076" w:type="dxa"/>
          </w:tcPr>
          <w:p w14:paraId="6BCED43A" w14:textId="77777777" w:rsidR="007D1B65" w:rsidRPr="00D87969" w:rsidRDefault="007D1B65" w:rsidP="007D1B65">
            <w:pPr>
              <w:spacing w:before="120"/>
              <w:jc w:val="both"/>
              <w:rPr>
                <w:rFonts w:ascii="Times New Roman" w:hAnsi="Times New Roman" w:cs="Times New Roman"/>
                <w:bCs/>
              </w:rPr>
            </w:pPr>
          </w:p>
        </w:tc>
      </w:tr>
      <w:tr w:rsidR="007D1B65" w:rsidRPr="00D87969" w14:paraId="15662CC5" w14:textId="77777777" w:rsidTr="00B241C8">
        <w:trPr>
          <w:jc w:val="center"/>
        </w:trPr>
        <w:tc>
          <w:tcPr>
            <w:tcW w:w="562" w:type="dxa"/>
          </w:tcPr>
          <w:p w14:paraId="27986E92" w14:textId="267D1014"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7</w:t>
            </w:r>
          </w:p>
        </w:tc>
        <w:tc>
          <w:tcPr>
            <w:tcW w:w="1843" w:type="dxa"/>
            <w:vAlign w:val="center"/>
          </w:tcPr>
          <w:p w14:paraId="1DD6A86A" w14:textId="77777777" w:rsidR="007D1B65" w:rsidRPr="00D87969" w:rsidRDefault="007D1B65" w:rsidP="007D1B65">
            <w:pPr>
              <w:spacing w:before="120" w:after="120"/>
              <w:jc w:val="both"/>
              <w:rPr>
                <w:rStyle w:val="FontStyle16"/>
              </w:rPr>
            </w:pPr>
          </w:p>
        </w:tc>
        <w:tc>
          <w:tcPr>
            <w:tcW w:w="1843" w:type="dxa"/>
            <w:vAlign w:val="center"/>
          </w:tcPr>
          <w:p w14:paraId="4F07A806" w14:textId="77777777"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6D08D18D" w14:textId="065BFB3F" w:rsidR="00BE469D" w:rsidRPr="007D1B65" w:rsidRDefault="007D1B65" w:rsidP="007D1B65">
            <w:pPr>
              <w:jc w:val="both"/>
              <w:rPr>
                <w:rStyle w:val="FontStyle16"/>
                <w:rFonts w:asciiTheme="minorHAnsi" w:hAnsiTheme="minorHAnsi" w:cstheme="minorHAnsi"/>
                <w:sz w:val="28"/>
                <w:szCs w:val="28"/>
              </w:rPr>
            </w:pPr>
            <w:r w:rsidRPr="007D1B65">
              <w:rPr>
                <w:rStyle w:val="FontStyle16"/>
                <w:rFonts w:asciiTheme="minorHAnsi" w:hAnsiTheme="minorHAnsi" w:cstheme="minorHAnsi"/>
                <w:sz w:val="28"/>
                <w:szCs w:val="28"/>
              </w:rPr>
              <w:t>SN będzie mógł nie rozpoznać skargi kasacyjnej konsumenta (już przyjętej) na obcięte sprzecznie z prawem odsetki - konsumenci więc, mimo wyroku TSUE, mogą zostać finalnie pozbawieni prawa do odsetek. Konsument też faktycznie nie otrzyma zwrotu opłaty sądowej od skargi, podczas gdy dla banków przewiduje się szereg narzędzi pozwalających im uzyskanie zwrotu opłat sądowych</w:t>
            </w:r>
            <w:r>
              <w:rPr>
                <w:rStyle w:val="FontStyle16"/>
                <w:rFonts w:asciiTheme="minorHAnsi" w:hAnsiTheme="minorHAnsi" w:cstheme="minorHAnsi"/>
                <w:sz w:val="28"/>
                <w:szCs w:val="28"/>
              </w:rPr>
              <w:t>;</w:t>
            </w:r>
          </w:p>
          <w:p w14:paraId="73C5CCE3" w14:textId="613F6CC2" w:rsidR="007D1B65" w:rsidRPr="007D1B65" w:rsidRDefault="007D1B65" w:rsidP="007D1B65">
            <w:pPr>
              <w:jc w:val="both"/>
              <w:rPr>
                <w:rStyle w:val="FontStyle16"/>
                <w:rFonts w:asciiTheme="minorHAnsi" w:hAnsiTheme="minorHAnsi" w:cstheme="minorHAnsi"/>
                <w:sz w:val="28"/>
                <w:szCs w:val="28"/>
              </w:rPr>
            </w:pPr>
          </w:p>
        </w:tc>
        <w:tc>
          <w:tcPr>
            <w:tcW w:w="4076" w:type="dxa"/>
          </w:tcPr>
          <w:p w14:paraId="06521116" w14:textId="77777777" w:rsidR="007D1B65" w:rsidRPr="00D87969" w:rsidRDefault="007D1B65" w:rsidP="007D1B65">
            <w:pPr>
              <w:spacing w:before="120"/>
              <w:jc w:val="both"/>
              <w:rPr>
                <w:rFonts w:ascii="Times New Roman" w:hAnsi="Times New Roman" w:cs="Times New Roman"/>
                <w:bCs/>
              </w:rPr>
            </w:pPr>
          </w:p>
        </w:tc>
      </w:tr>
      <w:tr w:rsidR="007D1B65" w:rsidRPr="00D87969" w14:paraId="39B7F362" w14:textId="77777777" w:rsidTr="00B241C8">
        <w:trPr>
          <w:jc w:val="center"/>
        </w:trPr>
        <w:tc>
          <w:tcPr>
            <w:tcW w:w="562" w:type="dxa"/>
          </w:tcPr>
          <w:p w14:paraId="426784DA" w14:textId="26DEA91B"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8</w:t>
            </w:r>
          </w:p>
        </w:tc>
        <w:tc>
          <w:tcPr>
            <w:tcW w:w="1843" w:type="dxa"/>
            <w:vAlign w:val="center"/>
          </w:tcPr>
          <w:p w14:paraId="186082DA" w14:textId="77777777" w:rsidR="007D1B65" w:rsidRPr="00D87969" w:rsidRDefault="007D1B65" w:rsidP="007D1B65">
            <w:pPr>
              <w:spacing w:before="120" w:after="120"/>
              <w:jc w:val="both"/>
              <w:rPr>
                <w:rStyle w:val="FontStyle16"/>
              </w:rPr>
            </w:pPr>
          </w:p>
        </w:tc>
        <w:tc>
          <w:tcPr>
            <w:tcW w:w="1843" w:type="dxa"/>
            <w:vAlign w:val="center"/>
          </w:tcPr>
          <w:p w14:paraId="4988AF00" w14:textId="77777777"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198728FA" w14:textId="5259323D" w:rsidR="007D1B65" w:rsidRPr="007D1B65" w:rsidRDefault="007D1B65" w:rsidP="007D1B65">
            <w:pPr>
              <w:jc w:val="both"/>
              <w:rPr>
                <w:rStyle w:val="FontStyle16"/>
                <w:rFonts w:asciiTheme="minorHAnsi" w:hAnsiTheme="minorHAnsi" w:cstheme="minorHAnsi"/>
                <w:sz w:val="28"/>
                <w:szCs w:val="28"/>
              </w:rPr>
            </w:pPr>
            <w:r w:rsidRPr="007D1B65">
              <w:rPr>
                <w:rStyle w:val="FontStyle16"/>
                <w:rFonts w:asciiTheme="minorHAnsi" w:hAnsiTheme="minorHAnsi" w:cstheme="minorHAnsi"/>
                <w:sz w:val="28"/>
                <w:szCs w:val="28"/>
              </w:rPr>
              <w:t xml:space="preserve">Faktycznie nie wprowadza się narzędzi mogących przyśpieszyć sprawy - delikatnie muska się sposób przeprowadzania dowodów (świadkowie, kredytobiorcy), zamiast dopuścić ograniczenie postępowania dowodowego do </w:t>
            </w:r>
            <w:r w:rsidRPr="007D1B65">
              <w:rPr>
                <w:rStyle w:val="FontStyle16"/>
                <w:rFonts w:asciiTheme="minorHAnsi" w:hAnsiTheme="minorHAnsi" w:cstheme="minorHAnsi"/>
                <w:sz w:val="28"/>
                <w:szCs w:val="28"/>
              </w:rPr>
              <w:lastRenderedPageBreak/>
              <w:t>treści umowy i dokumentów</w:t>
            </w:r>
            <w:r w:rsidR="00F2324B">
              <w:rPr>
                <w:rStyle w:val="FontStyle16"/>
                <w:rFonts w:asciiTheme="minorHAnsi" w:hAnsiTheme="minorHAnsi" w:cstheme="minorHAnsi"/>
                <w:sz w:val="28"/>
                <w:szCs w:val="28"/>
              </w:rPr>
              <w:t xml:space="preserve"> – element zbyt obszernego postępowania dowodowego jest głównym czynnikiem rozciągającym w czasie procesy frankowe i generujące dla sądów dodatkowe czynności procesowe (szukanie i wzywanie świadków, puste terminy)</w:t>
            </w:r>
          </w:p>
          <w:p w14:paraId="1BAE699F" w14:textId="6F92E951" w:rsidR="007D1B65" w:rsidRPr="007D1B65" w:rsidRDefault="007D1B65" w:rsidP="007D1B65">
            <w:pPr>
              <w:jc w:val="both"/>
              <w:rPr>
                <w:rStyle w:val="FontStyle16"/>
                <w:rFonts w:asciiTheme="minorHAnsi" w:hAnsiTheme="minorHAnsi" w:cstheme="minorHAnsi"/>
                <w:sz w:val="28"/>
                <w:szCs w:val="28"/>
              </w:rPr>
            </w:pPr>
          </w:p>
        </w:tc>
        <w:tc>
          <w:tcPr>
            <w:tcW w:w="4076" w:type="dxa"/>
          </w:tcPr>
          <w:p w14:paraId="0D16AB57" w14:textId="77777777" w:rsidR="007D1B65" w:rsidRPr="00D87969" w:rsidRDefault="007D1B65" w:rsidP="007D1B65">
            <w:pPr>
              <w:spacing w:before="120"/>
              <w:jc w:val="both"/>
              <w:rPr>
                <w:rFonts w:ascii="Times New Roman" w:hAnsi="Times New Roman" w:cs="Times New Roman"/>
                <w:bCs/>
              </w:rPr>
            </w:pPr>
          </w:p>
        </w:tc>
      </w:tr>
      <w:tr w:rsidR="007D1B65" w:rsidRPr="00D87969" w14:paraId="1211399F" w14:textId="77777777" w:rsidTr="00B241C8">
        <w:trPr>
          <w:jc w:val="center"/>
        </w:trPr>
        <w:tc>
          <w:tcPr>
            <w:tcW w:w="562" w:type="dxa"/>
          </w:tcPr>
          <w:p w14:paraId="7E0799BC" w14:textId="470A427B"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9</w:t>
            </w:r>
          </w:p>
        </w:tc>
        <w:tc>
          <w:tcPr>
            <w:tcW w:w="1843" w:type="dxa"/>
            <w:vAlign w:val="center"/>
          </w:tcPr>
          <w:p w14:paraId="04A1BAAF" w14:textId="77777777" w:rsidR="007D1B65" w:rsidRPr="00D87969" w:rsidRDefault="007D1B65" w:rsidP="007D1B65">
            <w:pPr>
              <w:spacing w:before="120" w:after="120"/>
              <w:jc w:val="both"/>
              <w:rPr>
                <w:rStyle w:val="FontStyle16"/>
              </w:rPr>
            </w:pPr>
          </w:p>
        </w:tc>
        <w:tc>
          <w:tcPr>
            <w:tcW w:w="1843" w:type="dxa"/>
            <w:vAlign w:val="center"/>
          </w:tcPr>
          <w:p w14:paraId="4B8388F1" w14:textId="77777777"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7C1BC22C" w14:textId="49A25995" w:rsidR="007D1B65" w:rsidRDefault="00F2324B" w:rsidP="007D1B65">
            <w:pPr>
              <w:jc w:val="both"/>
              <w:rPr>
                <w:rStyle w:val="FontStyle16"/>
                <w:rFonts w:asciiTheme="minorHAnsi" w:hAnsiTheme="minorHAnsi" w:cstheme="minorHAnsi"/>
                <w:sz w:val="28"/>
                <w:szCs w:val="28"/>
              </w:rPr>
            </w:pPr>
            <w:r>
              <w:rPr>
                <w:rStyle w:val="FontStyle16"/>
                <w:rFonts w:asciiTheme="minorHAnsi" w:hAnsiTheme="minorHAnsi" w:cstheme="minorHAnsi"/>
                <w:sz w:val="28"/>
                <w:szCs w:val="28"/>
              </w:rPr>
              <w:t>Projekt ustawy n</w:t>
            </w:r>
            <w:r w:rsidR="007D1B65" w:rsidRPr="007D1B65">
              <w:rPr>
                <w:rStyle w:val="FontStyle16"/>
                <w:rFonts w:asciiTheme="minorHAnsi" w:hAnsiTheme="minorHAnsi" w:cstheme="minorHAnsi"/>
                <w:sz w:val="28"/>
                <w:szCs w:val="28"/>
              </w:rPr>
              <w:t>ie wprowadza w rejestrach typu BIK usprawnień dla konsumentów w postaci konieczności wpisu, że wierzytelność bankowa jest sporna lub innego narzędzia, które pozwoliłoby na odblokowanie zdolności kredytowej pokrzywdzonych kredytobiorców</w:t>
            </w:r>
            <w:r w:rsidR="007D1B65">
              <w:rPr>
                <w:rStyle w:val="FontStyle16"/>
                <w:rFonts w:asciiTheme="minorHAnsi" w:hAnsiTheme="minorHAnsi" w:cstheme="minorHAnsi"/>
                <w:sz w:val="28"/>
                <w:szCs w:val="28"/>
              </w:rPr>
              <w:t>;</w:t>
            </w:r>
            <w:r>
              <w:rPr>
                <w:rStyle w:val="FontStyle16"/>
                <w:rFonts w:asciiTheme="minorHAnsi" w:hAnsiTheme="minorHAnsi" w:cstheme="minorHAnsi"/>
                <w:sz w:val="28"/>
                <w:szCs w:val="28"/>
              </w:rPr>
              <w:t xml:space="preserve"> proponowane zapisy ustawy w zakresie rejestrów nie wprowadzają żadnych nowości w stosunku do istniejącego stanu faktycznego, ani nie poprawiają realnie sytuacji konsumenta;</w:t>
            </w:r>
          </w:p>
          <w:p w14:paraId="10295654" w14:textId="20E3619F" w:rsidR="007D1B65" w:rsidRPr="007D1B65" w:rsidRDefault="007D1B65" w:rsidP="007D1B65">
            <w:pPr>
              <w:jc w:val="both"/>
              <w:rPr>
                <w:rStyle w:val="FontStyle16"/>
                <w:rFonts w:asciiTheme="minorHAnsi" w:hAnsiTheme="minorHAnsi" w:cstheme="minorHAnsi"/>
                <w:sz w:val="28"/>
                <w:szCs w:val="28"/>
              </w:rPr>
            </w:pPr>
          </w:p>
        </w:tc>
        <w:tc>
          <w:tcPr>
            <w:tcW w:w="4076" w:type="dxa"/>
          </w:tcPr>
          <w:p w14:paraId="1CE180A7" w14:textId="77777777" w:rsidR="007D1B65" w:rsidRPr="00D87969" w:rsidRDefault="007D1B65" w:rsidP="007D1B65">
            <w:pPr>
              <w:spacing w:before="120"/>
              <w:jc w:val="both"/>
              <w:rPr>
                <w:rFonts w:ascii="Times New Roman" w:hAnsi="Times New Roman" w:cs="Times New Roman"/>
                <w:bCs/>
              </w:rPr>
            </w:pPr>
          </w:p>
        </w:tc>
      </w:tr>
      <w:tr w:rsidR="007D1B65" w:rsidRPr="00D87969" w14:paraId="3D76A534" w14:textId="77777777" w:rsidTr="00B241C8">
        <w:trPr>
          <w:jc w:val="center"/>
        </w:trPr>
        <w:tc>
          <w:tcPr>
            <w:tcW w:w="562" w:type="dxa"/>
          </w:tcPr>
          <w:p w14:paraId="330ED9EF" w14:textId="2ED2CB1F" w:rsidR="007D1B65" w:rsidRDefault="007D1B65" w:rsidP="007D1B65">
            <w:pPr>
              <w:spacing w:before="120"/>
              <w:ind w:right="-534"/>
              <w:jc w:val="both"/>
              <w:rPr>
                <w:rFonts w:ascii="Times New Roman" w:hAnsi="Times New Roman" w:cs="Times New Roman"/>
                <w:bCs/>
              </w:rPr>
            </w:pPr>
            <w:r>
              <w:rPr>
                <w:rFonts w:ascii="Times New Roman" w:hAnsi="Times New Roman" w:cs="Times New Roman"/>
                <w:bCs/>
              </w:rPr>
              <w:t xml:space="preserve">10 </w:t>
            </w:r>
          </w:p>
        </w:tc>
        <w:tc>
          <w:tcPr>
            <w:tcW w:w="1843" w:type="dxa"/>
            <w:vAlign w:val="center"/>
          </w:tcPr>
          <w:p w14:paraId="5BCB7CF7" w14:textId="77777777" w:rsidR="007D1B65" w:rsidRPr="00D87969" w:rsidRDefault="007D1B65" w:rsidP="007D1B65">
            <w:pPr>
              <w:spacing w:before="120" w:after="120"/>
              <w:jc w:val="both"/>
              <w:rPr>
                <w:rStyle w:val="FontStyle16"/>
              </w:rPr>
            </w:pPr>
          </w:p>
        </w:tc>
        <w:tc>
          <w:tcPr>
            <w:tcW w:w="1843" w:type="dxa"/>
            <w:vAlign w:val="center"/>
          </w:tcPr>
          <w:p w14:paraId="2885F316" w14:textId="77777777"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2CD5454A" w14:textId="63742E47" w:rsidR="007D1B65" w:rsidRDefault="007D1B65" w:rsidP="007D1B65">
            <w:pPr>
              <w:jc w:val="both"/>
              <w:rPr>
                <w:rStyle w:val="FontStyle16"/>
                <w:rFonts w:asciiTheme="minorHAnsi" w:hAnsiTheme="minorHAnsi" w:cstheme="minorHAnsi"/>
                <w:sz w:val="28"/>
                <w:szCs w:val="28"/>
              </w:rPr>
            </w:pPr>
            <w:r w:rsidRPr="007D1B65">
              <w:rPr>
                <w:rStyle w:val="FontStyle16"/>
                <w:rFonts w:asciiTheme="minorHAnsi" w:hAnsiTheme="minorHAnsi" w:cstheme="minorHAnsi"/>
                <w:sz w:val="28"/>
                <w:szCs w:val="28"/>
              </w:rPr>
              <w:t xml:space="preserve">Projekt </w:t>
            </w:r>
            <w:r w:rsidR="00BE469D">
              <w:rPr>
                <w:rStyle w:val="FontStyle16"/>
                <w:rFonts w:asciiTheme="minorHAnsi" w:hAnsiTheme="minorHAnsi" w:cstheme="minorHAnsi"/>
                <w:sz w:val="28"/>
                <w:szCs w:val="28"/>
              </w:rPr>
              <w:t>wprowadza zasadę</w:t>
            </w:r>
            <w:r w:rsidRPr="007D1B65">
              <w:rPr>
                <w:rStyle w:val="FontStyle16"/>
                <w:rFonts w:asciiTheme="minorHAnsi" w:hAnsiTheme="minorHAnsi" w:cstheme="minorHAnsi"/>
                <w:sz w:val="28"/>
                <w:szCs w:val="28"/>
              </w:rPr>
              <w:t>, że prawo działa wstecz</w:t>
            </w:r>
            <w:r w:rsidR="00F2324B">
              <w:rPr>
                <w:rStyle w:val="FontStyle16"/>
                <w:rFonts w:asciiTheme="minorHAnsi" w:hAnsiTheme="minorHAnsi" w:cstheme="minorHAnsi"/>
                <w:sz w:val="28"/>
                <w:szCs w:val="28"/>
              </w:rPr>
              <w:t xml:space="preserve">, w szczególności niedopuszczalne jest, aby zmieniać wieloletnie postępowania w ten sposób, aby bank mógł zgłosić zarzut potrącenia np. na rozprawie w II instancji, co oczywiście wydłuży sprawę oraz wprowadzi </w:t>
            </w:r>
            <w:r w:rsidR="00F2324B">
              <w:rPr>
                <w:rStyle w:val="FontStyle16"/>
                <w:rFonts w:asciiTheme="minorHAnsi" w:hAnsiTheme="minorHAnsi" w:cstheme="minorHAnsi"/>
                <w:sz w:val="28"/>
                <w:szCs w:val="28"/>
              </w:rPr>
              <w:lastRenderedPageBreak/>
              <w:t xml:space="preserve">niedopuszczalną sytuację, że wierzytelność banku czy wierzytelność konsumenta o odsetki będzie przedmiotem oceny tylko w jednej instancji, bez możliwości odwołania się od tego rozstrzygnięcia. Narusza to poważnie zasadę nie tylko działania prawa wstecz, ale również dwuinstancyjności postępowania. Konsumenci składali pozwy na określonym stanie prawnym i narusza się ich prawa procesowe poprzez dodanie bankom (przedsiębiorcom nieuczciwym) szeregu udogodnień procesowych, których nie mają przedsiębiorcy uczciwi, ani inne strony postępowania cywilnego. Naruszona jest w ten sposób równość wobec praw, podstawowa zasada konstytucyjna. </w:t>
            </w:r>
          </w:p>
          <w:p w14:paraId="35CB674A" w14:textId="2581061E" w:rsidR="00BE469D" w:rsidRPr="007D1B65" w:rsidRDefault="00BE469D" w:rsidP="007D1B65">
            <w:pPr>
              <w:jc w:val="both"/>
              <w:rPr>
                <w:rStyle w:val="FontStyle16"/>
                <w:rFonts w:asciiTheme="minorHAnsi" w:hAnsiTheme="minorHAnsi" w:cstheme="minorHAnsi"/>
                <w:sz w:val="28"/>
                <w:szCs w:val="28"/>
              </w:rPr>
            </w:pPr>
          </w:p>
        </w:tc>
        <w:tc>
          <w:tcPr>
            <w:tcW w:w="4076" w:type="dxa"/>
          </w:tcPr>
          <w:p w14:paraId="5746429F" w14:textId="77777777" w:rsidR="007D1B65" w:rsidRPr="00D87969" w:rsidRDefault="007D1B65" w:rsidP="007D1B65">
            <w:pPr>
              <w:spacing w:before="120"/>
              <w:jc w:val="both"/>
              <w:rPr>
                <w:rFonts w:ascii="Times New Roman" w:hAnsi="Times New Roman" w:cs="Times New Roman"/>
                <w:bCs/>
              </w:rPr>
            </w:pPr>
          </w:p>
        </w:tc>
      </w:tr>
      <w:tr w:rsidR="007D1B65" w:rsidRPr="00D87969" w14:paraId="1CA5AB4D" w14:textId="77777777" w:rsidTr="00B919AF">
        <w:trPr>
          <w:jc w:val="center"/>
        </w:trPr>
        <w:tc>
          <w:tcPr>
            <w:tcW w:w="13994" w:type="dxa"/>
            <w:gridSpan w:val="5"/>
            <w:shd w:val="clear" w:color="auto" w:fill="A6A6A6" w:themeFill="background1" w:themeFillShade="A6"/>
          </w:tcPr>
          <w:p w14:paraId="24A9AEDA" w14:textId="648B2D56" w:rsidR="007D1B65" w:rsidRPr="00BE469D" w:rsidRDefault="00BE469D" w:rsidP="007D1B65">
            <w:pPr>
              <w:spacing w:before="120" w:after="120"/>
              <w:jc w:val="center"/>
              <w:rPr>
                <w:rFonts w:cstheme="minorHAnsi"/>
                <w:b/>
                <w:sz w:val="40"/>
                <w:szCs w:val="40"/>
              </w:rPr>
            </w:pPr>
            <w:r w:rsidRPr="00BE469D">
              <w:rPr>
                <w:rFonts w:cstheme="minorHAnsi"/>
                <w:b/>
                <w:sz w:val="40"/>
                <w:szCs w:val="40"/>
              </w:rPr>
              <w:t>SUGESTIE DO PROJEKTU USTAWY</w:t>
            </w:r>
          </w:p>
        </w:tc>
      </w:tr>
      <w:tr w:rsidR="007D1B65" w:rsidRPr="00D87969" w14:paraId="2156F658" w14:textId="77777777" w:rsidTr="00B241C8">
        <w:trPr>
          <w:jc w:val="center"/>
        </w:trPr>
        <w:tc>
          <w:tcPr>
            <w:tcW w:w="562" w:type="dxa"/>
          </w:tcPr>
          <w:p w14:paraId="79AAA3D9" w14:textId="3DE50848" w:rsidR="007D1B65" w:rsidRPr="00D87969" w:rsidRDefault="007D1B65" w:rsidP="007D1B65">
            <w:pPr>
              <w:spacing w:before="120"/>
              <w:ind w:right="-534"/>
              <w:jc w:val="both"/>
              <w:rPr>
                <w:rFonts w:ascii="Times New Roman" w:hAnsi="Times New Roman" w:cs="Times New Roman"/>
                <w:bCs/>
              </w:rPr>
            </w:pPr>
            <w:r w:rsidRPr="00D87969">
              <w:rPr>
                <w:rFonts w:ascii="Times New Roman" w:hAnsi="Times New Roman" w:cs="Times New Roman"/>
                <w:bCs/>
              </w:rPr>
              <w:t>1.</w:t>
            </w:r>
          </w:p>
        </w:tc>
        <w:tc>
          <w:tcPr>
            <w:tcW w:w="1843" w:type="dxa"/>
            <w:vAlign w:val="center"/>
          </w:tcPr>
          <w:p w14:paraId="225CC122" w14:textId="5852D5AE" w:rsidR="007D1B65" w:rsidRPr="00D87969" w:rsidRDefault="007D1B65" w:rsidP="007D1B65">
            <w:pPr>
              <w:spacing w:before="120" w:after="120"/>
              <w:jc w:val="both"/>
              <w:rPr>
                <w:rFonts w:ascii="Times New Roman" w:hAnsi="Times New Roman" w:cs="Times New Roman"/>
                <w:bCs/>
              </w:rPr>
            </w:pPr>
          </w:p>
        </w:tc>
        <w:tc>
          <w:tcPr>
            <w:tcW w:w="1843" w:type="dxa"/>
            <w:vAlign w:val="center"/>
          </w:tcPr>
          <w:p w14:paraId="5B69EE39" w14:textId="7CDC5BFC"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1D22DB14" w14:textId="3FCD5E69" w:rsidR="007D1B65" w:rsidRDefault="007D1B65" w:rsidP="007D1B65">
            <w:pPr>
              <w:rPr>
                <w:rFonts w:eastAsia="Times New Roman" w:cstheme="minorHAnsi"/>
                <w:bCs/>
                <w:sz w:val="28"/>
                <w:szCs w:val="28"/>
                <w:lang w:eastAsia="pl-PL"/>
              </w:rPr>
            </w:pPr>
            <w:r w:rsidRPr="0013373B">
              <w:rPr>
                <w:rFonts w:eastAsia="Times New Roman" w:cstheme="minorHAnsi"/>
                <w:bCs/>
                <w:sz w:val="28"/>
                <w:szCs w:val="28"/>
                <w:lang w:eastAsia="pl-PL"/>
              </w:rPr>
              <w:t xml:space="preserve">Wprowadzenie możliwości ograniczenia postępowania dowodowego do dowodów z dokumentów (pomaga tu zasada rozszerzonej prawomocności wyroków SOKIK) – to byłoby najsprawniejsze przyśpieszenie dla sądów, </w:t>
            </w:r>
            <w:r w:rsidRPr="0013373B">
              <w:rPr>
                <w:rFonts w:eastAsia="Times New Roman" w:cstheme="minorHAnsi"/>
                <w:bCs/>
                <w:sz w:val="28"/>
                <w:szCs w:val="28"/>
                <w:lang w:eastAsia="pl-PL"/>
              </w:rPr>
              <w:lastRenderedPageBreak/>
              <w:t>które niejednokrotnie nawet za banki szukają świadków czy też przesłuchują miesiącami świadków na piśmie, nawet tych, którzy w danym banku nie pracowali, poza tym sądy zbędnie przesłuchują kredytobiorców, podczas gdy faktycznie nie ustalają w ten sposób żadnych nowych faktów, na którym potem opierają uzasadnienie wyroku – w sprawach klasycznie konsumenckich dowody osobowe powinny zostać uznane za zbędne</w:t>
            </w:r>
            <w:r w:rsidR="00F2324B">
              <w:rPr>
                <w:rFonts w:eastAsia="Times New Roman" w:cstheme="minorHAnsi"/>
                <w:bCs/>
                <w:sz w:val="28"/>
                <w:szCs w:val="28"/>
                <w:lang w:eastAsia="pl-PL"/>
              </w:rPr>
              <w:t xml:space="preserve"> i jeżeli tego orzecznictwo do tej pory nie wypracowało, ustawodawca jak najbardziej może zastosować na wzór innych sformalizowanych procesów</w:t>
            </w:r>
            <w:r>
              <w:rPr>
                <w:rFonts w:eastAsia="Times New Roman" w:cstheme="minorHAnsi"/>
                <w:bCs/>
                <w:sz w:val="28"/>
                <w:szCs w:val="28"/>
                <w:lang w:eastAsia="pl-PL"/>
              </w:rPr>
              <w:t>;</w:t>
            </w:r>
          </w:p>
          <w:p w14:paraId="09E4D561" w14:textId="65438A55" w:rsidR="007D1B65" w:rsidRPr="0013373B" w:rsidRDefault="007D1B65" w:rsidP="007D1B65">
            <w:pPr>
              <w:rPr>
                <w:rFonts w:eastAsia="Times New Roman" w:cstheme="minorHAnsi"/>
                <w:bCs/>
                <w:sz w:val="28"/>
                <w:szCs w:val="28"/>
                <w:lang w:eastAsia="pl-PL"/>
              </w:rPr>
            </w:pPr>
          </w:p>
        </w:tc>
        <w:tc>
          <w:tcPr>
            <w:tcW w:w="4076" w:type="dxa"/>
          </w:tcPr>
          <w:p w14:paraId="2ADAA775" w14:textId="20495DBF"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10F7784F" w14:textId="77777777" w:rsidTr="00B241C8">
        <w:trPr>
          <w:jc w:val="center"/>
        </w:trPr>
        <w:tc>
          <w:tcPr>
            <w:tcW w:w="562" w:type="dxa"/>
          </w:tcPr>
          <w:p w14:paraId="689E329E" w14:textId="27F9CC05" w:rsidR="007D1B65" w:rsidRPr="00D87969" w:rsidRDefault="007D1B65" w:rsidP="007D1B65">
            <w:pPr>
              <w:spacing w:before="120"/>
              <w:ind w:right="-534"/>
              <w:jc w:val="both"/>
              <w:rPr>
                <w:rFonts w:ascii="Times New Roman" w:hAnsi="Times New Roman" w:cs="Times New Roman"/>
                <w:bCs/>
              </w:rPr>
            </w:pPr>
            <w:r w:rsidRPr="00D87969">
              <w:rPr>
                <w:rFonts w:ascii="Times New Roman" w:hAnsi="Times New Roman" w:cs="Times New Roman"/>
                <w:bCs/>
              </w:rPr>
              <w:t>2.</w:t>
            </w:r>
          </w:p>
        </w:tc>
        <w:tc>
          <w:tcPr>
            <w:tcW w:w="1843" w:type="dxa"/>
            <w:vAlign w:val="center"/>
          </w:tcPr>
          <w:p w14:paraId="1808B3A3" w14:textId="3295D43F" w:rsidR="007D1B65" w:rsidRPr="00D87969" w:rsidRDefault="007D1B65" w:rsidP="007D1B65">
            <w:pPr>
              <w:spacing w:before="120" w:after="120"/>
              <w:jc w:val="both"/>
              <w:rPr>
                <w:rFonts w:ascii="Times New Roman" w:hAnsi="Times New Roman" w:cs="Times New Roman"/>
                <w:bCs/>
              </w:rPr>
            </w:pPr>
          </w:p>
        </w:tc>
        <w:tc>
          <w:tcPr>
            <w:tcW w:w="1843" w:type="dxa"/>
            <w:vAlign w:val="center"/>
          </w:tcPr>
          <w:p w14:paraId="20E03EB2" w14:textId="32C45FA4" w:rsidR="007D1B65" w:rsidRPr="00D87969" w:rsidRDefault="007D1B65" w:rsidP="007D1B65">
            <w:pPr>
              <w:spacing w:before="120" w:after="120"/>
              <w:jc w:val="both"/>
              <w:rPr>
                <w:rFonts w:ascii="Times New Roman" w:hAnsi="Times New Roman" w:cs="Times New Roman"/>
                <w:bCs/>
              </w:rPr>
            </w:pPr>
          </w:p>
        </w:tc>
        <w:tc>
          <w:tcPr>
            <w:tcW w:w="5670" w:type="dxa"/>
            <w:vAlign w:val="center"/>
          </w:tcPr>
          <w:p w14:paraId="37FD8808" w14:textId="3900609D" w:rsidR="007D1B65" w:rsidRPr="0013373B" w:rsidRDefault="007D1B65" w:rsidP="007D1B65">
            <w:pPr>
              <w:rPr>
                <w:rFonts w:eastAsia="Times New Roman" w:cstheme="minorHAnsi"/>
                <w:sz w:val="28"/>
                <w:szCs w:val="28"/>
              </w:rPr>
            </w:pPr>
            <w:r w:rsidRPr="0013373B">
              <w:rPr>
                <w:rFonts w:eastAsia="Times New Roman" w:cstheme="minorHAnsi"/>
                <w:sz w:val="28"/>
                <w:szCs w:val="28"/>
              </w:rPr>
              <w:t xml:space="preserve">Przesądzenie zasady, że konsumentowi należy się zwrot kosztów procesu bez względu na dokonane potrącenie czy obrachunek wzajemnych roszczeń stron, jeżeli jego roszczenie o niezwiązanie klauzulami umownymi zostanie uznane za zasadne co do zasady – przesądzenie tej zasady pozwoli oszacować bankom koszty procesu i może zachęcić ich do uznawania roszczeń konsumentów </w:t>
            </w:r>
            <w:proofErr w:type="spellStart"/>
            <w:r w:rsidRPr="0013373B">
              <w:rPr>
                <w:rFonts w:eastAsia="Times New Roman" w:cstheme="minorHAnsi"/>
                <w:sz w:val="28"/>
                <w:szCs w:val="28"/>
              </w:rPr>
              <w:t>przedsądowo</w:t>
            </w:r>
            <w:proofErr w:type="spellEnd"/>
            <w:r>
              <w:rPr>
                <w:rFonts w:eastAsia="Times New Roman" w:cstheme="minorHAnsi"/>
                <w:sz w:val="28"/>
                <w:szCs w:val="28"/>
              </w:rPr>
              <w:t>;</w:t>
            </w:r>
            <w:r w:rsidR="00F2324B">
              <w:rPr>
                <w:rFonts w:eastAsia="Times New Roman" w:cstheme="minorHAnsi"/>
                <w:sz w:val="28"/>
                <w:szCs w:val="28"/>
              </w:rPr>
              <w:t xml:space="preserve"> rozwiązanie to </w:t>
            </w:r>
            <w:r w:rsidR="00F2324B">
              <w:rPr>
                <w:rFonts w:eastAsia="Times New Roman" w:cstheme="minorHAnsi"/>
                <w:sz w:val="28"/>
                <w:szCs w:val="28"/>
              </w:rPr>
              <w:lastRenderedPageBreak/>
              <w:t>będzie implementacją dyrektywy 93/13 i orzecznictwa TSUE.</w:t>
            </w:r>
          </w:p>
          <w:p w14:paraId="55D1FB45" w14:textId="77777777" w:rsidR="007D1B65" w:rsidRPr="0013373B" w:rsidRDefault="007D1B65" w:rsidP="007D1B65">
            <w:pPr>
              <w:rPr>
                <w:rFonts w:cstheme="minorHAnsi"/>
                <w:bCs/>
                <w:noProof/>
                <w:sz w:val="28"/>
                <w:szCs w:val="28"/>
              </w:rPr>
            </w:pPr>
          </w:p>
        </w:tc>
        <w:tc>
          <w:tcPr>
            <w:tcW w:w="4076" w:type="dxa"/>
          </w:tcPr>
          <w:p w14:paraId="73A16047" w14:textId="399E2F92"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70AF4D21" w14:textId="77777777" w:rsidTr="00B241C8">
        <w:tblPrEx>
          <w:jc w:val="left"/>
        </w:tblPrEx>
        <w:tc>
          <w:tcPr>
            <w:tcW w:w="562" w:type="dxa"/>
          </w:tcPr>
          <w:p w14:paraId="2A511012" w14:textId="73EBAAA3"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3</w:t>
            </w:r>
            <w:r w:rsidRPr="00D87969">
              <w:rPr>
                <w:rFonts w:ascii="Times New Roman" w:hAnsi="Times New Roman" w:cs="Times New Roman"/>
                <w:bCs/>
              </w:rPr>
              <w:t>.</w:t>
            </w:r>
          </w:p>
        </w:tc>
        <w:tc>
          <w:tcPr>
            <w:tcW w:w="1843" w:type="dxa"/>
          </w:tcPr>
          <w:p w14:paraId="02E25544" w14:textId="77777777" w:rsidR="007D1B65" w:rsidRPr="00D87969" w:rsidRDefault="007D1B65" w:rsidP="007D1B65">
            <w:pPr>
              <w:spacing w:before="120" w:after="120"/>
              <w:jc w:val="both"/>
              <w:rPr>
                <w:rFonts w:ascii="Times New Roman" w:hAnsi="Times New Roman" w:cs="Times New Roman"/>
                <w:bCs/>
              </w:rPr>
            </w:pPr>
          </w:p>
        </w:tc>
        <w:tc>
          <w:tcPr>
            <w:tcW w:w="1843" w:type="dxa"/>
          </w:tcPr>
          <w:p w14:paraId="3FEDB332" w14:textId="77777777" w:rsidR="007D1B65" w:rsidRPr="00D87969" w:rsidRDefault="007D1B65" w:rsidP="007D1B65">
            <w:pPr>
              <w:spacing w:before="120" w:after="120"/>
              <w:jc w:val="both"/>
              <w:rPr>
                <w:rFonts w:ascii="Times New Roman" w:hAnsi="Times New Roman" w:cs="Times New Roman"/>
                <w:bCs/>
              </w:rPr>
            </w:pPr>
          </w:p>
        </w:tc>
        <w:tc>
          <w:tcPr>
            <w:tcW w:w="5670" w:type="dxa"/>
          </w:tcPr>
          <w:p w14:paraId="25B27A02" w14:textId="14CF6750" w:rsidR="007D1B65" w:rsidRDefault="007D1B65" w:rsidP="007D1B65">
            <w:pPr>
              <w:rPr>
                <w:rFonts w:eastAsia="Times New Roman" w:cstheme="minorHAnsi"/>
                <w:bCs/>
                <w:sz w:val="28"/>
                <w:szCs w:val="28"/>
                <w:lang w:eastAsia="pl-PL"/>
              </w:rPr>
            </w:pPr>
            <w:r>
              <w:rPr>
                <w:rFonts w:eastAsia="Times New Roman" w:cstheme="minorHAnsi"/>
                <w:bCs/>
                <w:sz w:val="28"/>
                <w:szCs w:val="28"/>
                <w:lang w:eastAsia="pl-PL"/>
              </w:rPr>
              <w:t>P</w:t>
            </w:r>
            <w:r w:rsidRPr="0013373B">
              <w:rPr>
                <w:rFonts w:eastAsia="Times New Roman" w:cstheme="minorHAnsi"/>
                <w:bCs/>
                <w:sz w:val="28"/>
                <w:szCs w:val="28"/>
                <w:lang w:eastAsia="pl-PL"/>
              </w:rPr>
              <w:t>rzesądzenie zasady, że konsumentowi należne są odsetki, pomimo warunkowych żądań banków czy pomimo dokonanego przez konsumenta potrącenia, za czas do potrącenia - przesądzenie tej zasady pozwoli oszacować bankom odsetki i realnie odwiedzie banki od spraw sądowych</w:t>
            </w:r>
            <w:r>
              <w:rPr>
                <w:rFonts w:eastAsia="Times New Roman" w:cstheme="minorHAnsi"/>
                <w:bCs/>
                <w:sz w:val="28"/>
                <w:szCs w:val="28"/>
                <w:lang w:eastAsia="pl-PL"/>
              </w:rPr>
              <w:t>;</w:t>
            </w:r>
            <w:r w:rsidR="00F2324B">
              <w:rPr>
                <w:rFonts w:eastAsia="Times New Roman" w:cstheme="minorHAnsi"/>
                <w:bCs/>
                <w:sz w:val="28"/>
                <w:szCs w:val="28"/>
                <w:lang w:eastAsia="pl-PL"/>
              </w:rPr>
              <w:t xml:space="preserve"> jeżeli ustawodawca dopuści zniesienie odsetek po warunkowych wnioskach banku będzie to oznaczało ingerencję na korzyść przedsiębiorcy nieuczciwego w zasady prawa materialnego i procesowego, które dla wszystkich podmiotów winny być równe. Każdy podmiot, a zwłaszcza przedsiębiorca nieuczciwy powinien ponosić ryzyko procesu do prawomocnego jego zakończenia.</w:t>
            </w:r>
          </w:p>
          <w:p w14:paraId="1D00666D" w14:textId="786604B4" w:rsidR="00BE469D" w:rsidRPr="0013373B" w:rsidRDefault="00BE469D" w:rsidP="007D1B65">
            <w:pPr>
              <w:rPr>
                <w:rFonts w:eastAsia="Times New Roman" w:cstheme="minorHAnsi"/>
                <w:bCs/>
                <w:sz w:val="28"/>
                <w:szCs w:val="28"/>
                <w:lang w:eastAsia="pl-PL"/>
              </w:rPr>
            </w:pPr>
          </w:p>
        </w:tc>
        <w:tc>
          <w:tcPr>
            <w:tcW w:w="4076" w:type="dxa"/>
          </w:tcPr>
          <w:p w14:paraId="3366253C" w14:textId="77777777"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05B4DE1E" w14:textId="77777777" w:rsidTr="00B241C8">
        <w:tblPrEx>
          <w:jc w:val="left"/>
        </w:tblPrEx>
        <w:tc>
          <w:tcPr>
            <w:tcW w:w="562" w:type="dxa"/>
          </w:tcPr>
          <w:p w14:paraId="7E8865B5" w14:textId="32FE1498"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4</w:t>
            </w:r>
          </w:p>
        </w:tc>
        <w:tc>
          <w:tcPr>
            <w:tcW w:w="1843" w:type="dxa"/>
          </w:tcPr>
          <w:p w14:paraId="51B2CE8F" w14:textId="77777777" w:rsidR="007D1B65" w:rsidRPr="00D87969" w:rsidRDefault="007D1B65" w:rsidP="007D1B65">
            <w:pPr>
              <w:spacing w:before="120" w:after="120"/>
              <w:jc w:val="both"/>
              <w:rPr>
                <w:rFonts w:ascii="Times New Roman" w:hAnsi="Times New Roman" w:cs="Times New Roman"/>
                <w:bCs/>
              </w:rPr>
            </w:pPr>
          </w:p>
        </w:tc>
        <w:tc>
          <w:tcPr>
            <w:tcW w:w="1843" w:type="dxa"/>
          </w:tcPr>
          <w:p w14:paraId="53AB1CE3" w14:textId="77777777" w:rsidR="007D1B65" w:rsidRPr="00D87969" w:rsidRDefault="007D1B65" w:rsidP="007D1B65">
            <w:pPr>
              <w:spacing w:before="120" w:after="120"/>
              <w:jc w:val="both"/>
              <w:rPr>
                <w:rFonts w:ascii="Times New Roman" w:hAnsi="Times New Roman" w:cs="Times New Roman"/>
                <w:bCs/>
              </w:rPr>
            </w:pPr>
          </w:p>
        </w:tc>
        <w:tc>
          <w:tcPr>
            <w:tcW w:w="5670" w:type="dxa"/>
          </w:tcPr>
          <w:p w14:paraId="559637E0" w14:textId="7CCF58D6" w:rsidR="007D1B65" w:rsidRPr="0013373B" w:rsidRDefault="007D1B65" w:rsidP="007D1B65">
            <w:pPr>
              <w:rPr>
                <w:rFonts w:eastAsia="Times New Roman" w:cstheme="minorHAnsi"/>
                <w:bCs/>
                <w:sz w:val="28"/>
                <w:szCs w:val="28"/>
                <w:lang w:eastAsia="pl-PL"/>
              </w:rPr>
            </w:pPr>
            <w:r>
              <w:rPr>
                <w:rFonts w:eastAsia="Times New Roman" w:cstheme="minorHAnsi"/>
                <w:bCs/>
                <w:sz w:val="28"/>
                <w:szCs w:val="28"/>
                <w:lang w:eastAsia="pl-PL"/>
              </w:rPr>
              <w:t>O</w:t>
            </w:r>
            <w:r w:rsidRPr="0013373B">
              <w:rPr>
                <w:rFonts w:eastAsia="Times New Roman" w:cstheme="minorHAnsi"/>
                <w:bCs/>
                <w:sz w:val="28"/>
                <w:szCs w:val="28"/>
                <w:lang w:eastAsia="pl-PL"/>
              </w:rPr>
              <w:t>graniczenie rewizji skarg kasacyjnych do skarg kasacyjnych banków</w:t>
            </w:r>
            <w:r>
              <w:rPr>
                <w:rFonts w:eastAsia="Times New Roman" w:cstheme="minorHAnsi"/>
                <w:bCs/>
                <w:sz w:val="28"/>
                <w:szCs w:val="28"/>
                <w:lang w:eastAsia="pl-PL"/>
              </w:rPr>
              <w:t>;</w:t>
            </w:r>
          </w:p>
          <w:p w14:paraId="6680219B" w14:textId="77777777" w:rsidR="007D1B65" w:rsidRPr="0013373B" w:rsidRDefault="007D1B65" w:rsidP="007D1B65">
            <w:pPr>
              <w:rPr>
                <w:rFonts w:eastAsia="Times New Roman" w:cstheme="minorHAnsi"/>
                <w:bCs/>
                <w:sz w:val="28"/>
                <w:szCs w:val="28"/>
                <w:lang w:eastAsia="pl-PL"/>
              </w:rPr>
            </w:pPr>
          </w:p>
        </w:tc>
        <w:tc>
          <w:tcPr>
            <w:tcW w:w="4076" w:type="dxa"/>
          </w:tcPr>
          <w:p w14:paraId="5C961BC9" w14:textId="77777777"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4ADC5A47" w14:textId="77777777" w:rsidTr="00B241C8">
        <w:tblPrEx>
          <w:jc w:val="left"/>
        </w:tblPrEx>
        <w:tc>
          <w:tcPr>
            <w:tcW w:w="562" w:type="dxa"/>
          </w:tcPr>
          <w:p w14:paraId="47F14E70" w14:textId="5868DBEA"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5</w:t>
            </w:r>
          </w:p>
        </w:tc>
        <w:tc>
          <w:tcPr>
            <w:tcW w:w="1843" w:type="dxa"/>
          </w:tcPr>
          <w:p w14:paraId="0F5B0CE9" w14:textId="77777777" w:rsidR="007D1B65" w:rsidRPr="00D87969" w:rsidRDefault="007D1B65" w:rsidP="007D1B65">
            <w:pPr>
              <w:spacing w:before="120" w:after="120"/>
              <w:jc w:val="both"/>
              <w:rPr>
                <w:rFonts w:ascii="Times New Roman" w:hAnsi="Times New Roman" w:cs="Times New Roman"/>
                <w:bCs/>
              </w:rPr>
            </w:pPr>
          </w:p>
        </w:tc>
        <w:tc>
          <w:tcPr>
            <w:tcW w:w="1843" w:type="dxa"/>
          </w:tcPr>
          <w:p w14:paraId="330B018A" w14:textId="77777777" w:rsidR="007D1B65" w:rsidRPr="00D87969" w:rsidRDefault="007D1B65" w:rsidP="007D1B65">
            <w:pPr>
              <w:spacing w:before="120" w:after="120"/>
              <w:jc w:val="both"/>
              <w:rPr>
                <w:rFonts w:ascii="Times New Roman" w:hAnsi="Times New Roman" w:cs="Times New Roman"/>
                <w:bCs/>
              </w:rPr>
            </w:pPr>
          </w:p>
        </w:tc>
        <w:tc>
          <w:tcPr>
            <w:tcW w:w="5670" w:type="dxa"/>
          </w:tcPr>
          <w:p w14:paraId="0430E769" w14:textId="2E104304" w:rsidR="007D1B65" w:rsidRDefault="007D1B65" w:rsidP="007D1B65">
            <w:pPr>
              <w:rPr>
                <w:rFonts w:eastAsia="Times New Roman" w:cstheme="minorHAnsi"/>
                <w:bCs/>
                <w:sz w:val="28"/>
                <w:szCs w:val="28"/>
                <w:lang w:eastAsia="pl-PL"/>
              </w:rPr>
            </w:pPr>
            <w:r>
              <w:rPr>
                <w:rFonts w:eastAsia="Times New Roman" w:cstheme="minorHAnsi"/>
                <w:bCs/>
                <w:sz w:val="28"/>
                <w:szCs w:val="28"/>
                <w:lang w:eastAsia="pl-PL"/>
              </w:rPr>
              <w:t>U</w:t>
            </w:r>
            <w:r w:rsidRPr="0013373B">
              <w:rPr>
                <w:rFonts w:eastAsia="Times New Roman" w:cstheme="minorHAnsi"/>
                <w:bCs/>
                <w:sz w:val="28"/>
                <w:szCs w:val="28"/>
                <w:lang w:eastAsia="pl-PL"/>
              </w:rPr>
              <w:t xml:space="preserve">sunięcie warunkowego wniosku o rozliczenie świadczeń, a wprowadzenie w to miejsce </w:t>
            </w:r>
            <w:r w:rsidRPr="0013373B">
              <w:rPr>
                <w:rFonts w:eastAsia="Times New Roman" w:cstheme="minorHAnsi"/>
                <w:bCs/>
                <w:sz w:val="28"/>
                <w:szCs w:val="28"/>
                <w:lang w:eastAsia="pl-PL"/>
              </w:rPr>
              <w:lastRenderedPageBreak/>
              <w:t xml:space="preserve">zasady, że jeżeli pozew banku będzie zawierał wniosek o zawieszenie do czasu rozpoznania powództwa kredytobiorcy (czyli będzie warunkowy), to taka sprawa ulega zawieszeniu, bez doręczania pozwu do konsumentów. Pozwoli to na odciążenie sądów, ponieważ po prawomocnym wyroku w sprawie z powództwa kredytobiorcy, strony powinny się rozliczyć pozasądowo, co dzieje się wielokrotnie w praktyce. </w:t>
            </w:r>
            <w:r w:rsidR="00054E11">
              <w:rPr>
                <w:rFonts w:eastAsia="Times New Roman" w:cstheme="minorHAnsi"/>
                <w:bCs/>
                <w:sz w:val="28"/>
                <w:szCs w:val="28"/>
                <w:lang w:eastAsia="pl-PL"/>
              </w:rPr>
              <w:t xml:space="preserve">Po wzajemnych rozliczeniach banki cofają pozwy, co wynika z praktyki i powinno być przez ustawodawcę dostrzeżone. </w:t>
            </w:r>
            <w:r w:rsidRPr="0013373B">
              <w:rPr>
                <w:rFonts w:eastAsia="Times New Roman" w:cstheme="minorHAnsi"/>
                <w:bCs/>
                <w:sz w:val="28"/>
                <w:szCs w:val="28"/>
                <w:lang w:eastAsia="pl-PL"/>
              </w:rPr>
              <w:t>Sądowe rozliczanie wzajemnych świadczeń tylko obciąży, a nie odciąży sądy</w:t>
            </w:r>
            <w:r>
              <w:rPr>
                <w:rFonts w:eastAsia="Times New Roman" w:cstheme="minorHAnsi"/>
                <w:bCs/>
                <w:sz w:val="28"/>
                <w:szCs w:val="28"/>
                <w:lang w:eastAsia="pl-PL"/>
              </w:rPr>
              <w:t>;</w:t>
            </w:r>
          </w:p>
          <w:p w14:paraId="014E9B12" w14:textId="6EFBECFE" w:rsidR="003C1307" w:rsidRDefault="003C1307" w:rsidP="007D1B65">
            <w:pPr>
              <w:rPr>
                <w:rFonts w:eastAsia="Times New Roman" w:cstheme="minorHAnsi"/>
                <w:bCs/>
                <w:sz w:val="28"/>
                <w:szCs w:val="28"/>
                <w:lang w:eastAsia="pl-PL"/>
              </w:rPr>
            </w:pPr>
            <w:r>
              <w:rPr>
                <w:rFonts w:eastAsia="Times New Roman" w:cstheme="minorHAnsi"/>
                <w:bCs/>
                <w:sz w:val="28"/>
                <w:szCs w:val="28"/>
                <w:lang w:eastAsia="pl-PL"/>
              </w:rPr>
              <w:t xml:space="preserve">Usunięcie zasady, że końcowe rozliczenie następuje w wyroku I instancji, gdyż jest to oczywiście sprzeczne z zasadą uwzględniania stanu na datę orzekania. Nielogiczne jest również, aby w sytuacji, w której bank nadal kwestionuje ważność umowy, rozliczenie tej umowy nastąpiło z datą wyroku I instancji, podczas gdy nie jest on prawomocny. </w:t>
            </w:r>
          </w:p>
          <w:p w14:paraId="447648B1" w14:textId="66DA29D8" w:rsidR="003C1307" w:rsidRPr="0013373B" w:rsidRDefault="003C1307" w:rsidP="007D1B65">
            <w:pPr>
              <w:rPr>
                <w:rFonts w:eastAsia="Times New Roman" w:cstheme="minorHAnsi"/>
                <w:bCs/>
                <w:sz w:val="28"/>
                <w:szCs w:val="28"/>
                <w:lang w:eastAsia="pl-PL"/>
              </w:rPr>
            </w:pPr>
            <w:r>
              <w:rPr>
                <w:rFonts w:eastAsia="Times New Roman" w:cstheme="minorHAnsi"/>
                <w:bCs/>
                <w:sz w:val="28"/>
                <w:szCs w:val="28"/>
                <w:lang w:eastAsia="pl-PL"/>
              </w:rPr>
              <w:t xml:space="preserve">To ukazuje, że cała instytucja wniosku warunkowego o rozliczenie jest nielogiczna i sprzeczna z dotychczasowymi zasadami </w:t>
            </w:r>
            <w:r>
              <w:rPr>
                <w:rFonts w:eastAsia="Times New Roman" w:cstheme="minorHAnsi"/>
                <w:bCs/>
                <w:sz w:val="28"/>
                <w:szCs w:val="28"/>
                <w:lang w:eastAsia="pl-PL"/>
              </w:rPr>
              <w:lastRenderedPageBreak/>
              <w:t>procesowymi i nie może być tworzona ad hoc, bo polepsza tylko i wyłącznie pozycję banku. Natychmiastowa wykonalność wyroku w części pieniężnej nie poprawia sytuacji konsumenta, gdyż może być on nie zainteresowany wcześniejszą realizacją wyroku. Pojawią się też dodatkowe wniosku restytucyjne banków.</w:t>
            </w:r>
          </w:p>
          <w:p w14:paraId="4846DC21" w14:textId="77777777" w:rsidR="007D1B65" w:rsidRPr="0013373B" w:rsidRDefault="007D1B65" w:rsidP="007D1B65">
            <w:pPr>
              <w:rPr>
                <w:rFonts w:eastAsia="Times New Roman" w:cstheme="minorHAnsi"/>
                <w:bCs/>
                <w:sz w:val="28"/>
                <w:szCs w:val="28"/>
                <w:lang w:eastAsia="pl-PL"/>
              </w:rPr>
            </w:pPr>
          </w:p>
        </w:tc>
        <w:tc>
          <w:tcPr>
            <w:tcW w:w="4076" w:type="dxa"/>
          </w:tcPr>
          <w:p w14:paraId="6177C563" w14:textId="77777777"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37DA9416" w14:textId="77777777" w:rsidTr="00B241C8">
        <w:tblPrEx>
          <w:jc w:val="left"/>
        </w:tblPrEx>
        <w:tc>
          <w:tcPr>
            <w:tcW w:w="562" w:type="dxa"/>
          </w:tcPr>
          <w:p w14:paraId="7902ED62" w14:textId="49C991E6"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lastRenderedPageBreak/>
              <w:t>6</w:t>
            </w:r>
          </w:p>
        </w:tc>
        <w:tc>
          <w:tcPr>
            <w:tcW w:w="1843" w:type="dxa"/>
          </w:tcPr>
          <w:p w14:paraId="0059C85C" w14:textId="77777777" w:rsidR="007D1B65" w:rsidRPr="00D87969" w:rsidRDefault="007D1B65" w:rsidP="007D1B65">
            <w:pPr>
              <w:spacing w:before="120" w:after="120"/>
              <w:jc w:val="both"/>
              <w:rPr>
                <w:rFonts w:ascii="Times New Roman" w:hAnsi="Times New Roman" w:cs="Times New Roman"/>
                <w:bCs/>
              </w:rPr>
            </w:pPr>
          </w:p>
        </w:tc>
        <w:tc>
          <w:tcPr>
            <w:tcW w:w="1843" w:type="dxa"/>
          </w:tcPr>
          <w:p w14:paraId="0F68195D" w14:textId="77777777" w:rsidR="007D1B65" w:rsidRPr="00D87969" w:rsidRDefault="007D1B65" w:rsidP="007D1B65">
            <w:pPr>
              <w:spacing w:before="120" w:after="120"/>
              <w:jc w:val="both"/>
              <w:rPr>
                <w:rFonts w:ascii="Times New Roman" w:hAnsi="Times New Roman" w:cs="Times New Roman"/>
                <w:bCs/>
              </w:rPr>
            </w:pPr>
          </w:p>
        </w:tc>
        <w:tc>
          <w:tcPr>
            <w:tcW w:w="5670" w:type="dxa"/>
          </w:tcPr>
          <w:p w14:paraId="00DD5C67" w14:textId="71DBC0E1" w:rsidR="007D1B65" w:rsidRPr="0013373B" w:rsidRDefault="007D1B65" w:rsidP="007D1B65">
            <w:pPr>
              <w:rPr>
                <w:rFonts w:eastAsia="Times New Roman" w:cstheme="minorHAnsi"/>
                <w:bCs/>
                <w:sz w:val="28"/>
                <w:szCs w:val="28"/>
                <w:lang w:eastAsia="pl-PL"/>
              </w:rPr>
            </w:pPr>
            <w:r>
              <w:rPr>
                <w:rFonts w:eastAsia="Times New Roman" w:cstheme="minorHAnsi"/>
                <w:bCs/>
                <w:sz w:val="28"/>
                <w:szCs w:val="28"/>
                <w:lang w:eastAsia="pl-PL"/>
              </w:rPr>
              <w:t>U</w:t>
            </w:r>
            <w:r w:rsidRPr="0013373B">
              <w:rPr>
                <w:rFonts w:eastAsia="Times New Roman" w:cstheme="minorHAnsi"/>
                <w:bCs/>
                <w:sz w:val="28"/>
                <w:szCs w:val="28"/>
                <w:lang w:eastAsia="pl-PL"/>
              </w:rPr>
              <w:t>sunięcie rozszerzenia możliwości podniesienia zarzutu potrącenia przez bank, pozostawienia go tylko dla konsumenta, co pozwoli na szybsze zakończenie spraw z powództwa banków; wprowadzenie możliwości podniesienia we wszystkich już aktualnych sprawach zarzutu potrącenia przez bank, może wydłużyć postępowania apelacyjne i doprowadzi do tego, że roszczenia banku będą rozpoznawane tylko w jednej instancji</w:t>
            </w:r>
            <w:r>
              <w:rPr>
                <w:rFonts w:eastAsia="Times New Roman" w:cstheme="minorHAnsi"/>
                <w:bCs/>
                <w:sz w:val="28"/>
                <w:szCs w:val="28"/>
                <w:lang w:eastAsia="pl-PL"/>
              </w:rPr>
              <w:t>;</w:t>
            </w:r>
            <w:r w:rsidR="00054E11">
              <w:rPr>
                <w:rFonts w:eastAsia="Times New Roman" w:cstheme="minorHAnsi"/>
                <w:bCs/>
                <w:sz w:val="28"/>
                <w:szCs w:val="28"/>
                <w:lang w:eastAsia="pl-PL"/>
              </w:rPr>
              <w:t xml:space="preserve"> nadto będzie to kolejne naruszenie konstytucyjnej równości stron</w:t>
            </w:r>
          </w:p>
          <w:p w14:paraId="27A1B125" w14:textId="77777777" w:rsidR="007D1B65" w:rsidRPr="0013373B" w:rsidRDefault="007D1B65" w:rsidP="007D1B65">
            <w:pPr>
              <w:rPr>
                <w:rFonts w:eastAsia="Times New Roman" w:cstheme="minorHAnsi"/>
                <w:bCs/>
                <w:sz w:val="28"/>
                <w:szCs w:val="28"/>
                <w:lang w:eastAsia="pl-PL"/>
              </w:rPr>
            </w:pPr>
          </w:p>
        </w:tc>
        <w:tc>
          <w:tcPr>
            <w:tcW w:w="4076" w:type="dxa"/>
          </w:tcPr>
          <w:p w14:paraId="0115AEAB" w14:textId="77777777"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50BB2B35" w14:textId="77777777" w:rsidTr="00B241C8">
        <w:tblPrEx>
          <w:jc w:val="left"/>
        </w:tblPrEx>
        <w:tc>
          <w:tcPr>
            <w:tcW w:w="562" w:type="dxa"/>
          </w:tcPr>
          <w:p w14:paraId="4C33FF28" w14:textId="54EF01FD"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7</w:t>
            </w:r>
          </w:p>
        </w:tc>
        <w:tc>
          <w:tcPr>
            <w:tcW w:w="1843" w:type="dxa"/>
          </w:tcPr>
          <w:p w14:paraId="01D08C29" w14:textId="77777777" w:rsidR="007D1B65" w:rsidRPr="00D87969" w:rsidRDefault="007D1B65" w:rsidP="007D1B65">
            <w:pPr>
              <w:spacing w:before="120" w:after="120"/>
              <w:jc w:val="both"/>
              <w:rPr>
                <w:rFonts w:ascii="Times New Roman" w:hAnsi="Times New Roman" w:cs="Times New Roman"/>
                <w:bCs/>
              </w:rPr>
            </w:pPr>
          </w:p>
        </w:tc>
        <w:tc>
          <w:tcPr>
            <w:tcW w:w="1843" w:type="dxa"/>
          </w:tcPr>
          <w:p w14:paraId="389DA037" w14:textId="77777777" w:rsidR="007D1B65" w:rsidRPr="00D87969" w:rsidRDefault="007D1B65" w:rsidP="007D1B65">
            <w:pPr>
              <w:spacing w:before="120" w:after="120"/>
              <w:jc w:val="both"/>
              <w:rPr>
                <w:rFonts w:ascii="Times New Roman" w:hAnsi="Times New Roman" w:cs="Times New Roman"/>
                <w:bCs/>
              </w:rPr>
            </w:pPr>
          </w:p>
        </w:tc>
        <w:tc>
          <w:tcPr>
            <w:tcW w:w="5670" w:type="dxa"/>
          </w:tcPr>
          <w:p w14:paraId="4233FE00" w14:textId="5F287FB3" w:rsidR="007D1B65" w:rsidRPr="0013373B" w:rsidRDefault="007D1B65" w:rsidP="007D1B65">
            <w:pPr>
              <w:rPr>
                <w:rFonts w:eastAsia="Times New Roman" w:cstheme="minorHAnsi"/>
                <w:bCs/>
                <w:sz w:val="28"/>
                <w:szCs w:val="28"/>
                <w:lang w:eastAsia="pl-PL"/>
              </w:rPr>
            </w:pPr>
            <w:r>
              <w:rPr>
                <w:rFonts w:eastAsia="Times New Roman" w:cstheme="minorHAnsi"/>
                <w:bCs/>
                <w:sz w:val="28"/>
                <w:szCs w:val="28"/>
                <w:lang w:eastAsia="pl-PL"/>
              </w:rPr>
              <w:t>W</w:t>
            </w:r>
            <w:r w:rsidRPr="0013373B">
              <w:rPr>
                <w:rFonts w:eastAsia="Times New Roman" w:cstheme="minorHAnsi"/>
                <w:bCs/>
                <w:sz w:val="28"/>
                <w:szCs w:val="28"/>
                <w:lang w:eastAsia="pl-PL"/>
              </w:rPr>
              <w:t>prowadzenie zasady, że pozwy kierowane przez banki, przy jednoczesnym zaprzeczeniu nieważności podlegają pod art. 458(16) kpc</w:t>
            </w:r>
            <w:r w:rsidR="00054E11">
              <w:rPr>
                <w:rFonts w:eastAsia="Times New Roman" w:cstheme="minorHAnsi"/>
                <w:bCs/>
                <w:sz w:val="28"/>
                <w:szCs w:val="28"/>
                <w:lang w:eastAsia="pl-PL"/>
              </w:rPr>
              <w:t xml:space="preserve"> i z zasady powinno skutkować obciążeniem </w:t>
            </w:r>
            <w:r w:rsidR="00054E11">
              <w:rPr>
                <w:rFonts w:eastAsia="Times New Roman" w:cstheme="minorHAnsi"/>
                <w:bCs/>
                <w:sz w:val="28"/>
                <w:szCs w:val="28"/>
                <w:lang w:eastAsia="pl-PL"/>
              </w:rPr>
              <w:lastRenderedPageBreak/>
              <w:t>podwójnymi kosztami proces</w:t>
            </w:r>
            <w:r w:rsidRPr="0013373B">
              <w:rPr>
                <w:rFonts w:eastAsia="Times New Roman" w:cstheme="minorHAnsi"/>
                <w:bCs/>
                <w:sz w:val="28"/>
                <w:szCs w:val="28"/>
                <w:lang w:eastAsia="pl-PL"/>
              </w:rPr>
              <w:t>, to realnie udrożni sądy – banki będą wiedziały, że tylko do 3 lat mogą kwestionować żądania konsumentów, a potem, jeżeli chcą przerwać przedawnienie</w:t>
            </w:r>
            <w:r w:rsidR="00054E11">
              <w:rPr>
                <w:rFonts w:eastAsia="Times New Roman" w:cstheme="minorHAnsi"/>
                <w:bCs/>
                <w:sz w:val="28"/>
                <w:szCs w:val="28"/>
                <w:lang w:eastAsia="pl-PL"/>
              </w:rPr>
              <w:t xml:space="preserve"> warunkowo</w:t>
            </w:r>
            <w:r w:rsidRPr="0013373B">
              <w:rPr>
                <w:rFonts w:eastAsia="Times New Roman" w:cstheme="minorHAnsi"/>
                <w:bCs/>
                <w:sz w:val="28"/>
                <w:szCs w:val="28"/>
                <w:lang w:eastAsia="pl-PL"/>
              </w:rPr>
              <w:t>, ponoszą tego koszty</w:t>
            </w:r>
            <w:r>
              <w:rPr>
                <w:rFonts w:eastAsia="Times New Roman" w:cstheme="minorHAnsi"/>
                <w:bCs/>
                <w:sz w:val="28"/>
                <w:szCs w:val="28"/>
                <w:lang w:eastAsia="pl-PL"/>
              </w:rPr>
              <w:t>;</w:t>
            </w:r>
            <w:r w:rsidR="00054E11">
              <w:rPr>
                <w:rFonts w:eastAsia="Times New Roman" w:cstheme="minorHAnsi"/>
                <w:bCs/>
                <w:sz w:val="28"/>
                <w:szCs w:val="28"/>
                <w:lang w:eastAsia="pl-PL"/>
              </w:rPr>
              <w:t xml:space="preserve"> - powyższe może usprawnić postępowania i przyczynić się do chęci banków do szybszego dogadywania się z kredytobiorcami</w:t>
            </w:r>
          </w:p>
          <w:p w14:paraId="121834FA" w14:textId="77777777" w:rsidR="007D1B65" w:rsidRPr="0013373B" w:rsidRDefault="007D1B65" w:rsidP="007D1B65">
            <w:pPr>
              <w:rPr>
                <w:rFonts w:eastAsia="Times New Roman" w:cstheme="minorHAnsi"/>
                <w:bCs/>
                <w:sz w:val="28"/>
                <w:szCs w:val="28"/>
                <w:lang w:eastAsia="pl-PL"/>
              </w:rPr>
            </w:pPr>
          </w:p>
        </w:tc>
        <w:tc>
          <w:tcPr>
            <w:tcW w:w="4076" w:type="dxa"/>
          </w:tcPr>
          <w:p w14:paraId="45B520E1" w14:textId="77777777"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7FFFA5C9" w14:textId="77777777" w:rsidTr="00B241C8">
        <w:tblPrEx>
          <w:jc w:val="left"/>
        </w:tblPrEx>
        <w:tc>
          <w:tcPr>
            <w:tcW w:w="562" w:type="dxa"/>
          </w:tcPr>
          <w:p w14:paraId="04D51967" w14:textId="702C3427"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8</w:t>
            </w:r>
          </w:p>
        </w:tc>
        <w:tc>
          <w:tcPr>
            <w:tcW w:w="1843" w:type="dxa"/>
          </w:tcPr>
          <w:p w14:paraId="7E3C28E8" w14:textId="77777777" w:rsidR="007D1B65" w:rsidRPr="00D87969" w:rsidRDefault="007D1B65" w:rsidP="007D1B65">
            <w:pPr>
              <w:spacing w:before="120" w:after="120"/>
              <w:jc w:val="both"/>
              <w:rPr>
                <w:rFonts w:ascii="Times New Roman" w:hAnsi="Times New Roman" w:cs="Times New Roman"/>
                <w:bCs/>
              </w:rPr>
            </w:pPr>
          </w:p>
        </w:tc>
        <w:tc>
          <w:tcPr>
            <w:tcW w:w="1843" w:type="dxa"/>
          </w:tcPr>
          <w:p w14:paraId="64FA37BA" w14:textId="77777777" w:rsidR="007D1B65" w:rsidRPr="00D87969" w:rsidRDefault="007D1B65" w:rsidP="007D1B65">
            <w:pPr>
              <w:spacing w:before="120" w:after="120"/>
              <w:jc w:val="both"/>
              <w:rPr>
                <w:rFonts w:ascii="Times New Roman" w:hAnsi="Times New Roman" w:cs="Times New Roman"/>
                <w:bCs/>
              </w:rPr>
            </w:pPr>
          </w:p>
        </w:tc>
        <w:tc>
          <w:tcPr>
            <w:tcW w:w="5670" w:type="dxa"/>
          </w:tcPr>
          <w:p w14:paraId="1AE8FDB7" w14:textId="267ADBB5" w:rsidR="007D1B65" w:rsidRPr="0013373B" w:rsidRDefault="007D1B65" w:rsidP="007D1B65">
            <w:pPr>
              <w:rPr>
                <w:rFonts w:eastAsia="Times New Roman" w:cstheme="minorHAnsi"/>
                <w:bCs/>
                <w:sz w:val="28"/>
                <w:szCs w:val="28"/>
                <w:lang w:eastAsia="pl-PL"/>
              </w:rPr>
            </w:pPr>
            <w:r w:rsidRPr="0013373B">
              <w:rPr>
                <w:rFonts w:eastAsia="Times New Roman" w:cstheme="minorHAnsi"/>
                <w:bCs/>
                <w:sz w:val="28"/>
                <w:szCs w:val="28"/>
                <w:lang w:eastAsia="pl-PL"/>
              </w:rPr>
              <w:t>Odejście od zasady pozostawiania dotychczasowych zażaleń bez rozpoznania, ponieważ za te zażalenia konsumentom winny przypaść koszty procesu, które w sposób masowy będą teraz anulowane, co daje ogromne korzyści dla banków</w:t>
            </w:r>
            <w:r>
              <w:rPr>
                <w:rFonts w:eastAsia="Times New Roman" w:cstheme="minorHAnsi"/>
                <w:bCs/>
                <w:sz w:val="28"/>
                <w:szCs w:val="28"/>
                <w:lang w:eastAsia="pl-PL"/>
              </w:rPr>
              <w:t>;</w:t>
            </w:r>
            <w:r w:rsidR="00054E11">
              <w:rPr>
                <w:rFonts w:eastAsia="Times New Roman" w:cstheme="minorHAnsi"/>
                <w:bCs/>
                <w:sz w:val="28"/>
                <w:szCs w:val="28"/>
                <w:lang w:eastAsia="pl-PL"/>
              </w:rPr>
              <w:t xml:space="preserve"> aktualna regulacja jest znów instrumentem korzystnym dla banków, gdyż masowo zwalnia się banki z obowiązku poniesienia kosztów postępowania zażaleniowego, co narusza dyrektywę 93/13 ponieważ konsument nie uzyskuje pełnej kompensacji kosztów procesu;</w:t>
            </w:r>
          </w:p>
          <w:p w14:paraId="6E38C6B0" w14:textId="77777777" w:rsidR="007D1B65" w:rsidRPr="0013373B" w:rsidRDefault="007D1B65" w:rsidP="007D1B65">
            <w:pPr>
              <w:rPr>
                <w:rFonts w:eastAsia="Times New Roman" w:cstheme="minorHAnsi"/>
                <w:bCs/>
                <w:sz w:val="28"/>
                <w:szCs w:val="28"/>
                <w:lang w:eastAsia="pl-PL"/>
              </w:rPr>
            </w:pPr>
          </w:p>
        </w:tc>
        <w:tc>
          <w:tcPr>
            <w:tcW w:w="4076" w:type="dxa"/>
          </w:tcPr>
          <w:p w14:paraId="132B5244" w14:textId="77777777"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0383F950" w14:textId="77777777" w:rsidTr="00B241C8">
        <w:tblPrEx>
          <w:jc w:val="left"/>
        </w:tblPrEx>
        <w:tc>
          <w:tcPr>
            <w:tcW w:w="562" w:type="dxa"/>
          </w:tcPr>
          <w:p w14:paraId="4364082D" w14:textId="6AD9B5ED"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lastRenderedPageBreak/>
              <w:t>9</w:t>
            </w:r>
          </w:p>
        </w:tc>
        <w:tc>
          <w:tcPr>
            <w:tcW w:w="1843" w:type="dxa"/>
          </w:tcPr>
          <w:p w14:paraId="6F9A879A" w14:textId="77777777" w:rsidR="007D1B65" w:rsidRPr="00D87969" w:rsidRDefault="007D1B65" w:rsidP="007D1B65">
            <w:pPr>
              <w:spacing w:before="120" w:after="120"/>
              <w:jc w:val="both"/>
              <w:rPr>
                <w:rFonts w:ascii="Times New Roman" w:hAnsi="Times New Roman" w:cs="Times New Roman"/>
                <w:bCs/>
              </w:rPr>
            </w:pPr>
          </w:p>
        </w:tc>
        <w:tc>
          <w:tcPr>
            <w:tcW w:w="1843" w:type="dxa"/>
          </w:tcPr>
          <w:p w14:paraId="1651164F" w14:textId="77777777" w:rsidR="007D1B65" w:rsidRPr="00D87969" w:rsidRDefault="007D1B65" w:rsidP="007D1B65">
            <w:pPr>
              <w:spacing w:before="120" w:after="120"/>
              <w:jc w:val="both"/>
              <w:rPr>
                <w:rFonts w:ascii="Times New Roman" w:hAnsi="Times New Roman" w:cs="Times New Roman"/>
                <w:bCs/>
              </w:rPr>
            </w:pPr>
          </w:p>
        </w:tc>
        <w:tc>
          <w:tcPr>
            <w:tcW w:w="5670" w:type="dxa"/>
          </w:tcPr>
          <w:p w14:paraId="34B38B41" w14:textId="445FD162" w:rsidR="007D1B65" w:rsidRPr="0013373B" w:rsidRDefault="007D1B65" w:rsidP="007D1B65">
            <w:pPr>
              <w:rPr>
                <w:rFonts w:eastAsia="Times New Roman" w:cstheme="minorHAnsi"/>
                <w:bCs/>
                <w:sz w:val="28"/>
                <w:szCs w:val="28"/>
                <w:lang w:eastAsia="pl-PL"/>
              </w:rPr>
            </w:pPr>
            <w:r w:rsidRPr="0013373B">
              <w:rPr>
                <w:rFonts w:eastAsia="Times New Roman" w:cstheme="minorHAnsi"/>
                <w:bCs/>
                <w:sz w:val="28"/>
                <w:szCs w:val="28"/>
                <w:lang w:eastAsia="pl-PL"/>
              </w:rPr>
              <w:t>Zrezygnowanie z zasady wprowadzenia zmian w trakcie postępowań, przynajmniej w zakresie tej instancji, w której sprawa się toczy</w:t>
            </w:r>
            <w:r>
              <w:rPr>
                <w:rFonts w:eastAsia="Times New Roman" w:cstheme="minorHAnsi"/>
                <w:bCs/>
                <w:sz w:val="28"/>
                <w:szCs w:val="28"/>
                <w:lang w:eastAsia="pl-PL"/>
              </w:rPr>
              <w:t>;</w:t>
            </w:r>
          </w:p>
          <w:p w14:paraId="3FD195D0" w14:textId="77777777" w:rsidR="007D1B65" w:rsidRPr="0013373B" w:rsidRDefault="007D1B65" w:rsidP="007D1B65">
            <w:pPr>
              <w:rPr>
                <w:rFonts w:eastAsia="Times New Roman" w:cstheme="minorHAnsi"/>
                <w:bCs/>
                <w:sz w:val="28"/>
                <w:szCs w:val="28"/>
                <w:lang w:eastAsia="pl-PL"/>
              </w:rPr>
            </w:pPr>
          </w:p>
        </w:tc>
        <w:tc>
          <w:tcPr>
            <w:tcW w:w="4076" w:type="dxa"/>
          </w:tcPr>
          <w:p w14:paraId="666D207B" w14:textId="77777777" w:rsidR="007D1B65" w:rsidRPr="00D87969" w:rsidRDefault="007D1B65" w:rsidP="007D1B65">
            <w:pPr>
              <w:spacing w:before="120" w:after="120"/>
              <w:jc w:val="both"/>
              <w:rPr>
                <w:rFonts w:ascii="Times New Roman" w:eastAsia="Times New Roman" w:hAnsi="Times New Roman" w:cs="Times New Roman"/>
                <w:bCs/>
                <w:lang w:eastAsia="pl-PL"/>
              </w:rPr>
            </w:pPr>
          </w:p>
        </w:tc>
      </w:tr>
      <w:tr w:rsidR="007D1B65" w:rsidRPr="00D87969" w14:paraId="7BF95DC9" w14:textId="77777777" w:rsidTr="00B241C8">
        <w:tblPrEx>
          <w:jc w:val="left"/>
        </w:tblPrEx>
        <w:tc>
          <w:tcPr>
            <w:tcW w:w="562" w:type="dxa"/>
          </w:tcPr>
          <w:p w14:paraId="7BB41021" w14:textId="41A4DDDF" w:rsidR="007D1B65" w:rsidRPr="00D87969" w:rsidRDefault="007D1B65" w:rsidP="007D1B65">
            <w:pPr>
              <w:spacing w:before="120"/>
              <w:ind w:right="-534"/>
              <w:jc w:val="both"/>
              <w:rPr>
                <w:rFonts w:ascii="Times New Roman" w:hAnsi="Times New Roman" w:cs="Times New Roman"/>
                <w:bCs/>
              </w:rPr>
            </w:pPr>
            <w:r>
              <w:rPr>
                <w:rFonts w:ascii="Times New Roman" w:hAnsi="Times New Roman" w:cs="Times New Roman"/>
                <w:bCs/>
              </w:rPr>
              <w:t>10</w:t>
            </w:r>
          </w:p>
        </w:tc>
        <w:tc>
          <w:tcPr>
            <w:tcW w:w="1843" w:type="dxa"/>
          </w:tcPr>
          <w:p w14:paraId="45DBC08B" w14:textId="77777777" w:rsidR="007D1B65" w:rsidRPr="00D87969" w:rsidRDefault="007D1B65" w:rsidP="007D1B65">
            <w:pPr>
              <w:spacing w:before="120" w:after="120"/>
              <w:jc w:val="both"/>
              <w:rPr>
                <w:rFonts w:ascii="Times New Roman" w:hAnsi="Times New Roman" w:cs="Times New Roman"/>
                <w:bCs/>
              </w:rPr>
            </w:pPr>
          </w:p>
        </w:tc>
        <w:tc>
          <w:tcPr>
            <w:tcW w:w="1843" w:type="dxa"/>
          </w:tcPr>
          <w:p w14:paraId="1A766665" w14:textId="77777777" w:rsidR="007D1B65" w:rsidRPr="00D87969" w:rsidRDefault="007D1B65" w:rsidP="007D1B65">
            <w:pPr>
              <w:spacing w:before="120" w:after="120"/>
              <w:jc w:val="both"/>
              <w:rPr>
                <w:rFonts w:ascii="Times New Roman" w:hAnsi="Times New Roman" w:cs="Times New Roman"/>
                <w:bCs/>
              </w:rPr>
            </w:pPr>
          </w:p>
        </w:tc>
        <w:tc>
          <w:tcPr>
            <w:tcW w:w="5670" w:type="dxa"/>
          </w:tcPr>
          <w:p w14:paraId="108B79C8" w14:textId="15191A3D" w:rsidR="007D1B65" w:rsidRPr="0013373B" w:rsidRDefault="007D1B65" w:rsidP="007D1B65">
            <w:pPr>
              <w:rPr>
                <w:rFonts w:eastAsia="Times New Roman" w:cstheme="minorHAnsi"/>
                <w:bCs/>
                <w:sz w:val="28"/>
                <w:szCs w:val="28"/>
                <w:lang w:eastAsia="pl-PL"/>
              </w:rPr>
            </w:pPr>
            <w:r>
              <w:rPr>
                <w:rFonts w:eastAsia="Times New Roman" w:cstheme="minorHAnsi"/>
                <w:bCs/>
                <w:sz w:val="28"/>
                <w:szCs w:val="28"/>
                <w:lang w:eastAsia="pl-PL"/>
              </w:rPr>
              <w:t>W</w:t>
            </w:r>
            <w:r w:rsidRPr="0013373B">
              <w:rPr>
                <w:rFonts w:eastAsia="Times New Roman" w:cstheme="minorHAnsi"/>
                <w:bCs/>
                <w:sz w:val="28"/>
                <w:szCs w:val="28"/>
                <w:lang w:eastAsia="pl-PL"/>
              </w:rPr>
              <w:t>prowadzenie zasady, że zabezpieczenie udzielane jest na wniosek konsumenta i nie ma znaczenia fakt, czy kapitał kredytu został przez niego spłacony – pozbędziemy się w ten sposób dużej ilości kolejnych zażaleń</w:t>
            </w:r>
            <w:r w:rsidR="00054E11">
              <w:rPr>
                <w:rFonts w:eastAsia="Times New Roman" w:cstheme="minorHAnsi"/>
                <w:bCs/>
                <w:sz w:val="28"/>
                <w:szCs w:val="28"/>
                <w:lang w:eastAsia="pl-PL"/>
              </w:rPr>
              <w:t xml:space="preserve"> konsumentów</w:t>
            </w:r>
            <w:r>
              <w:rPr>
                <w:rFonts w:eastAsia="Times New Roman" w:cstheme="minorHAnsi"/>
                <w:bCs/>
                <w:sz w:val="28"/>
                <w:szCs w:val="28"/>
                <w:lang w:eastAsia="pl-PL"/>
              </w:rPr>
              <w:t>;</w:t>
            </w:r>
          </w:p>
          <w:p w14:paraId="4B42F89F" w14:textId="77777777" w:rsidR="007D1B65" w:rsidRPr="0013373B" w:rsidRDefault="007D1B65" w:rsidP="007D1B65">
            <w:pPr>
              <w:rPr>
                <w:rFonts w:eastAsia="Times New Roman" w:cstheme="minorHAnsi"/>
                <w:bCs/>
                <w:sz w:val="28"/>
                <w:szCs w:val="28"/>
                <w:lang w:eastAsia="pl-PL"/>
              </w:rPr>
            </w:pPr>
          </w:p>
        </w:tc>
        <w:tc>
          <w:tcPr>
            <w:tcW w:w="4076" w:type="dxa"/>
          </w:tcPr>
          <w:p w14:paraId="6348D3FC" w14:textId="77777777" w:rsidR="007D1B65" w:rsidRPr="00D87969" w:rsidRDefault="007D1B65" w:rsidP="007D1B65">
            <w:pPr>
              <w:spacing w:before="120" w:after="120"/>
              <w:jc w:val="both"/>
              <w:rPr>
                <w:rFonts w:ascii="Times New Roman" w:eastAsia="Times New Roman" w:hAnsi="Times New Roman" w:cs="Times New Roman"/>
                <w:bCs/>
                <w:lang w:eastAsia="pl-PL"/>
              </w:rPr>
            </w:pPr>
          </w:p>
        </w:tc>
      </w:tr>
    </w:tbl>
    <w:p w14:paraId="3263BA22" w14:textId="77777777" w:rsidR="009A3389" w:rsidRDefault="009A3389" w:rsidP="00F43ABB">
      <w:pPr>
        <w:spacing w:line="240" w:lineRule="auto"/>
        <w:jc w:val="both"/>
        <w:rPr>
          <w:rFonts w:ascii="Times New Roman" w:hAnsi="Times New Roman" w:cs="Times New Roman"/>
          <w:bCs/>
        </w:rPr>
      </w:pPr>
    </w:p>
    <w:p w14:paraId="394B736A" w14:textId="1E0704F7" w:rsidR="00381171" w:rsidRPr="00381171" w:rsidRDefault="00381171" w:rsidP="00F43ABB">
      <w:pPr>
        <w:spacing w:line="240" w:lineRule="auto"/>
        <w:jc w:val="both"/>
        <w:rPr>
          <w:rFonts w:ascii="Arial" w:hAnsi="Arial" w:cs="Arial"/>
          <w:b/>
          <w:color w:val="FF0000"/>
          <w:sz w:val="40"/>
          <w:szCs w:val="40"/>
        </w:rPr>
      </w:pPr>
      <w:r w:rsidRPr="00381171">
        <w:rPr>
          <w:rFonts w:ascii="Arial" w:hAnsi="Arial" w:cs="Arial"/>
          <w:b/>
          <w:color w:val="FF0000"/>
          <w:sz w:val="40"/>
          <w:szCs w:val="40"/>
        </w:rPr>
        <w:t>UWAGI NALEŻY WYSŁAĆ DO 7 MARCA 2025R.</w:t>
      </w:r>
    </w:p>
    <w:p w14:paraId="1F872B18" w14:textId="35723470" w:rsidR="00381171" w:rsidRPr="00381171" w:rsidRDefault="00381171" w:rsidP="00F43ABB">
      <w:pPr>
        <w:spacing w:line="240" w:lineRule="auto"/>
        <w:jc w:val="both"/>
        <w:rPr>
          <w:rFonts w:ascii="Arial" w:hAnsi="Arial" w:cs="Arial"/>
          <w:bCs/>
          <w:sz w:val="28"/>
          <w:szCs w:val="28"/>
        </w:rPr>
      </w:pPr>
      <w:r w:rsidRPr="00381171">
        <w:rPr>
          <w:rFonts w:ascii="Arial" w:hAnsi="Arial" w:cs="Arial"/>
          <w:bCs/>
          <w:sz w:val="28"/>
          <w:szCs w:val="28"/>
        </w:rPr>
        <w:t>DANE KONTAKTOWE OSOBY ODPOWIEDZIALNEJ ZA ODBIERANIE KORESPONDECNJI (PROSZĘ WYSYŁAĆ Z OPCJĄ POT</w:t>
      </w:r>
      <w:r w:rsidR="00275F4B">
        <w:rPr>
          <w:rFonts w:ascii="Arial" w:hAnsi="Arial" w:cs="Arial"/>
          <w:bCs/>
          <w:sz w:val="28"/>
          <w:szCs w:val="28"/>
        </w:rPr>
        <w:t>WI</w:t>
      </w:r>
      <w:r w:rsidRPr="00381171">
        <w:rPr>
          <w:rFonts w:ascii="Arial" w:hAnsi="Arial" w:cs="Arial"/>
          <w:bCs/>
          <w:sz w:val="28"/>
          <w:szCs w:val="28"/>
        </w:rPr>
        <w:t>ERDZENIA ODBIORU MAILA)</w:t>
      </w:r>
    </w:p>
    <w:p w14:paraId="74F77945" w14:textId="77777777" w:rsidR="00381171" w:rsidRPr="00381171" w:rsidRDefault="00381171" w:rsidP="00F43ABB">
      <w:pPr>
        <w:spacing w:line="240" w:lineRule="auto"/>
        <w:jc w:val="both"/>
        <w:rPr>
          <w:rFonts w:ascii="Arial" w:hAnsi="Arial" w:cs="Arial"/>
          <w:b/>
          <w:sz w:val="40"/>
          <w:szCs w:val="40"/>
          <w:u w:val="single"/>
        </w:rPr>
      </w:pPr>
      <w:r w:rsidRPr="00381171">
        <w:rPr>
          <w:rFonts w:ascii="Arial" w:hAnsi="Arial" w:cs="Arial"/>
          <w:b/>
          <w:sz w:val="40"/>
          <w:szCs w:val="40"/>
          <w:u w:val="single"/>
        </w:rPr>
        <w:t xml:space="preserve">Kontakt do opiekuna merytorycznego projektu: </w:t>
      </w:r>
    </w:p>
    <w:p w14:paraId="3AAD4BA1" w14:textId="77777777" w:rsidR="00381171" w:rsidRPr="00381171" w:rsidRDefault="00381171" w:rsidP="00F43ABB">
      <w:pPr>
        <w:spacing w:line="240" w:lineRule="auto"/>
        <w:jc w:val="both"/>
        <w:rPr>
          <w:rFonts w:ascii="Arial" w:hAnsi="Arial" w:cs="Arial"/>
          <w:bCs/>
          <w:sz w:val="40"/>
          <w:szCs w:val="40"/>
        </w:rPr>
      </w:pPr>
      <w:r w:rsidRPr="00381171">
        <w:rPr>
          <w:rFonts w:ascii="Arial" w:hAnsi="Arial" w:cs="Arial"/>
          <w:bCs/>
          <w:sz w:val="40"/>
          <w:szCs w:val="40"/>
        </w:rPr>
        <w:t xml:space="preserve">Łukasz Paszka </w:t>
      </w:r>
    </w:p>
    <w:p w14:paraId="6AAEAD39" w14:textId="77777777" w:rsidR="00381171" w:rsidRPr="00381171" w:rsidRDefault="00381171" w:rsidP="00F43ABB">
      <w:pPr>
        <w:spacing w:line="240" w:lineRule="auto"/>
        <w:jc w:val="both"/>
        <w:rPr>
          <w:rFonts w:ascii="Arial" w:hAnsi="Arial" w:cs="Arial"/>
          <w:bCs/>
          <w:sz w:val="40"/>
          <w:szCs w:val="40"/>
        </w:rPr>
      </w:pPr>
      <w:r w:rsidRPr="00381171">
        <w:rPr>
          <w:rFonts w:ascii="Arial" w:hAnsi="Arial" w:cs="Arial"/>
          <w:bCs/>
          <w:sz w:val="40"/>
          <w:szCs w:val="40"/>
        </w:rPr>
        <w:t xml:space="preserve">Zastępca Dyrektora Departamentu Legislacyjnego </w:t>
      </w:r>
    </w:p>
    <w:p w14:paraId="58569685" w14:textId="77777777" w:rsidR="00381171" w:rsidRPr="00381171" w:rsidRDefault="00381171" w:rsidP="00F43ABB">
      <w:pPr>
        <w:spacing w:line="240" w:lineRule="auto"/>
        <w:jc w:val="both"/>
        <w:rPr>
          <w:rFonts w:ascii="Arial" w:hAnsi="Arial" w:cs="Arial"/>
          <w:bCs/>
          <w:sz w:val="40"/>
          <w:szCs w:val="40"/>
        </w:rPr>
      </w:pPr>
      <w:r w:rsidRPr="00381171">
        <w:rPr>
          <w:rFonts w:ascii="Arial" w:hAnsi="Arial" w:cs="Arial"/>
          <w:bCs/>
          <w:sz w:val="40"/>
          <w:szCs w:val="40"/>
        </w:rPr>
        <w:t xml:space="preserve">tel.: 22 52-12-764 </w:t>
      </w:r>
    </w:p>
    <w:p w14:paraId="7BC2A9E7" w14:textId="6C642118" w:rsidR="00381171" w:rsidRPr="00381171" w:rsidRDefault="00381171" w:rsidP="00F43ABB">
      <w:pPr>
        <w:spacing w:line="240" w:lineRule="auto"/>
        <w:jc w:val="both"/>
        <w:rPr>
          <w:rFonts w:ascii="Arial" w:hAnsi="Arial" w:cs="Arial"/>
          <w:bCs/>
          <w:sz w:val="40"/>
          <w:szCs w:val="40"/>
        </w:rPr>
      </w:pPr>
      <w:r w:rsidRPr="00381171">
        <w:rPr>
          <w:rFonts w:ascii="Arial" w:hAnsi="Arial" w:cs="Arial"/>
          <w:bCs/>
          <w:sz w:val="40"/>
          <w:szCs w:val="40"/>
        </w:rPr>
        <w:t xml:space="preserve">e-mail: </w:t>
      </w:r>
      <w:r w:rsidRPr="00381171">
        <w:rPr>
          <w:rFonts w:ascii="Arial" w:hAnsi="Arial" w:cs="Arial"/>
          <w:b/>
          <w:color w:val="FF0000"/>
          <w:sz w:val="40"/>
          <w:szCs w:val="40"/>
          <w:u w:val="single"/>
        </w:rPr>
        <w:t>sekretariat.dl@ms.gov.pl</w:t>
      </w:r>
    </w:p>
    <w:sectPr w:rsidR="00381171" w:rsidRPr="00381171" w:rsidSect="001F3A0F">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00FB" w14:textId="77777777" w:rsidR="00697818" w:rsidRDefault="00697818" w:rsidP="00735AA5">
      <w:pPr>
        <w:spacing w:after="0" w:line="240" w:lineRule="auto"/>
      </w:pPr>
      <w:r>
        <w:separator/>
      </w:r>
    </w:p>
  </w:endnote>
  <w:endnote w:type="continuationSeparator" w:id="0">
    <w:p w14:paraId="7494C567" w14:textId="77777777" w:rsidR="00697818" w:rsidRDefault="00697818" w:rsidP="0073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451909213"/>
      <w:docPartObj>
        <w:docPartGallery w:val="Page Numbers (Bottom of Page)"/>
        <w:docPartUnique/>
      </w:docPartObj>
    </w:sdtPr>
    <w:sdtContent>
      <w:p w14:paraId="3D1313F4" w14:textId="77777777" w:rsidR="000B346A" w:rsidRPr="000B346A" w:rsidRDefault="00E738A5">
        <w:pPr>
          <w:pStyle w:val="Stopka"/>
          <w:jc w:val="right"/>
          <w:rPr>
            <w:rFonts w:ascii="Arial" w:hAnsi="Arial" w:cs="Arial"/>
            <w:sz w:val="18"/>
          </w:rPr>
        </w:pPr>
        <w:r>
          <w:rPr>
            <w:rFonts w:ascii="Arial" w:hAnsi="Arial" w:cs="Arial"/>
            <w:sz w:val="18"/>
          </w:rPr>
          <w:t>S</w:t>
        </w:r>
        <w:r w:rsidR="000B346A" w:rsidRPr="000B346A">
          <w:rPr>
            <w:rFonts w:ascii="Arial" w:hAnsi="Arial" w:cs="Arial"/>
            <w:sz w:val="18"/>
          </w:rPr>
          <w:t xml:space="preserve">trona | </w:t>
        </w:r>
        <w:r w:rsidR="000B346A" w:rsidRPr="000B346A">
          <w:rPr>
            <w:rFonts w:ascii="Arial" w:hAnsi="Arial" w:cs="Arial"/>
            <w:sz w:val="18"/>
          </w:rPr>
          <w:fldChar w:fldCharType="begin"/>
        </w:r>
        <w:r w:rsidR="000B346A" w:rsidRPr="000B346A">
          <w:rPr>
            <w:rFonts w:ascii="Arial" w:hAnsi="Arial" w:cs="Arial"/>
            <w:sz w:val="18"/>
          </w:rPr>
          <w:instrText>PAGE   \* MERGEFORMAT</w:instrText>
        </w:r>
        <w:r w:rsidR="000B346A" w:rsidRPr="000B346A">
          <w:rPr>
            <w:rFonts w:ascii="Arial" w:hAnsi="Arial" w:cs="Arial"/>
            <w:sz w:val="18"/>
          </w:rPr>
          <w:fldChar w:fldCharType="separate"/>
        </w:r>
        <w:r w:rsidR="00E23A7D">
          <w:rPr>
            <w:rFonts w:ascii="Arial" w:hAnsi="Arial" w:cs="Arial"/>
            <w:noProof/>
            <w:sz w:val="18"/>
          </w:rPr>
          <w:t>1</w:t>
        </w:r>
        <w:r w:rsidR="000B346A" w:rsidRPr="000B346A">
          <w:rPr>
            <w:rFonts w:ascii="Arial" w:hAnsi="Arial" w:cs="Arial"/>
            <w:sz w:val="18"/>
          </w:rPr>
          <w:fldChar w:fldCharType="end"/>
        </w:r>
        <w:r w:rsidR="000B346A" w:rsidRPr="000B346A">
          <w:rPr>
            <w:rFonts w:ascii="Arial" w:hAnsi="Arial" w:cs="Arial"/>
            <w:sz w:val="18"/>
          </w:rPr>
          <w:t xml:space="preserve"> </w:t>
        </w:r>
      </w:p>
    </w:sdtContent>
  </w:sdt>
  <w:p w14:paraId="1FF13A2E" w14:textId="77777777" w:rsidR="00735AA5" w:rsidRDefault="00735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E271" w14:textId="77777777" w:rsidR="00697818" w:rsidRDefault="00697818" w:rsidP="00735AA5">
      <w:pPr>
        <w:spacing w:after="0" w:line="240" w:lineRule="auto"/>
      </w:pPr>
      <w:r>
        <w:separator/>
      </w:r>
    </w:p>
  </w:footnote>
  <w:footnote w:type="continuationSeparator" w:id="0">
    <w:p w14:paraId="18CDEDED" w14:textId="77777777" w:rsidR="00697818" w:rsidRDefault="00697818" w:rsidP="0073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Look w:val="04A0" w:firstRow="1" w:lastRow="0" w:firstColumn="1" w:lastColumn="0" w:noHBand="0" w:noVBand="1"/>
    </w:tblPr>
    <w:tblGrid>
      <w:gridCol w:w="554"/>
      <w:gridCol w:w="1911"/>
      <w:gridCol w:w="1855"/>
      <w:gridCol w:w="5565"/>
      <w:gridCol w:w="4109"/>
    </w:tblGrid>
    <w:tr w:rsidR="00136551" w:rsidRPr="00FF4480" w14:paraId="25235B4B" w14:textId="77777777" w:rsidTr="00CF31A7">
      <w:trPr>
        <w:trHeight w:val="592"/>
        <w:jc w:val="center"/>
      </w:trPr>
      <w:tc>
        <w:tcPr>
          <w:tcW w:w="554" w:type="dxa"/>
          <w:vAlign w:val="center"/>
        </w:tcPr>
        <w:p w14:paraId="3079F5C1" w14:textId="77777777" w:rsidR="00136551" w:rsidRPr="00FF4480" w:rsidRDefault="00136551" w:rsidP="00136551">
          <w:pPr>
            <w:jc w:val="center"/>
            <w:rPr>
              <w:rFonts w:ascii="Times New Roman" w:hAnsi="Times New Roman" w:cs="Times New Roman"/>
              <w:sz w:val="20"/>
            </w:rPr>
          </w:pPr>
          <w:r w:rsidRPr="00FF4480">
            <w:rPr>
              <w:rFonts w:ascii="Times New Roman" w:hAnsi="Times New Roman" w:cs="Times New Roman"/>
              <w:b/>
              <w:sz w:val="20"/>
            </w:rPr>
            <w:t>Lp</w:t>
          </w:r>
          <w:r w:rsidRPr="00FF4480">
            <w:rPr>
              <w:rFonts w:ascii="Times New Roman" w:hAnsi="Times New Roman" w:cs="Times New Roman"/>
              <w:sz w:val="20"/>
            </w:rPr>
            <w:t>.</w:t>
          </w:r>
        </w:p>
      </w:tc>
      <w:tc>
        <w:tcPr>
          <w:tcW w:w="1931" w:type="dxa"/>
          <w:vAlign w:val="center"/>
        </w:tcPr>
        <w:p w14:paraId="51D5B69E" w14:textId="77777777" w:rsidR="00136551" w:rsidRPr="00FF4480" w:rsidRDefault="00136551" w:rsidP="00136551">
          <w:pPr>
            <w:spacing w:after="60"/>
            <w:jc w:val="center"/>
            <w:rPr>
              <w:rFonts w:ascii="Times New Roman" w:hAnsi="Times New Roman" w:cs="Times New Roman"/>
              <w:b/>
              <w:bCs/>
              <w:sz w:val="20"/>
            </w:rPr>
          </w:pPr>
          <w:r w:rsidRPr="00FF4480">
            <w:rPr>
              <w:rFonts w:ascii="Times New Roman" w:hAnsi="Times New Roman" w:cs="Times New Roman"/>
              <w:b/>
              <w:bCs/>
              <w:sz w:val="20"/>
            </w:rPr>
            <w:t>Podmiot zgłaszający</w:t>
          </w:r>
          <w:r>
            <w:rPr>
              <w:rFonts w:ascii="Times New Roman" w:hAnsi="Times New Roman" w:cs="Times New Roman"/>
              <w:b/>
              <w:bCs/>
              <w:sz w:val="20"/>
            </w:rPr>
            <w:t xml:space="preserve"> uwagę</w:t>
          </w:r>
        </w:p>
      </w:tc>
      <w:tc>
        <w:tcPr>
          <w:tcW w:w="1876" w:type="dxa"/>
          <w:vAlign w:val="center"/>
        </w:tcPr>
        <w:p w14:paraId="07DD2410" w14:textId="77777777" w:rsidR="00314CFD" w:rsidRDefault="00136551" w:rsidP="00136551">
          <w:pPr>
            <w:jc w:val="center"/>
            <w:rPr>
              <w:rFonts w:ascii="Times New Roman" w:hAnsi="Times New Roman" w:cs="Times New Roman"/>
              <w:b/>
              <w:bCs/>
              <w:sz w:val="16"/>
              <w:szCs w:val="16"/>
            </w:rPr>
          </w:pPr>
          <w:r w:rsidRPr="00E738A5">
            <w:rPr>
              <w:rFonts w:ascii="Times New Roman" w:hAnsi="Times New Roman" w:cs="Times New Roman"/>
              <w:b/>
              <w:bCs/>
              <w:sz w:val="16"/>
              <w:szCs w:val="16"/>
            </w:rPr>
            <w:t>Jednostka redakcyjna</w:t>
          </w:r>
        </w:p>
        <w:p w14:paraId="22C0C0E7" w14:textId="77777777" w:rsidR="00314CFD" w:rsidRDefault="00314CFD" w:rsidP="00136551">
          <w:pPr>
            <w:jc w:val="center"/>
            <w:rPr>
              <w:rFonts w:ascii="Times New Roman" w:hAnsi="Times New Roman" w:cs="Times New Roman"/>
              <w:b/>
              <w:bCs/>
              <w:sz w:val="16"/>
              <w:szCs w:val="16"/>
            </w:rPr>
          </w:pPr>
          <w:r>
            <w:rPr>
              <w:rFonts w:ascii="Times New Roman" w:hAnsi="Times New Roman" w:cs="Times New Roman"/>
              <w:b/>
              <w:bCs/>
              <w:sz w:val="16"/>
              <w:szCs w:val="16"/>
            </w:rPr>
            <w:t>lub</w:t>
          </w:r>
          <w:r w:rsidR="00136551" w:rsidRPr="00E738A5">
            <w:rPr>
              <w:rFonts w:ascii="Times New Roman" w:hAnsi="Times New Roman" w:cs="Times New Roman"/>
              <w:b/>
              <w:bCs/>
              <w:sz w:val="16"/>
              <w:szCs w:val="16"/>
            </w:rPr>
            <w:t xml:space="preserve"> </w:t>
          </w:r>
          <w:r w:rsidR="00136551" w:rsidRPr="00E738A5">
            <w:rPr>
              <w:rFonts w:ascii="Times New Roman" w:hAnsi="Times New Roman" w:cs="Times New Roman"/>
              <w:b/>
              <w:bCs/>
              <w:sz w:val="16"/>
              <w:szCs w:val="16"/>
            </w:rPr>
            <w:br/>
          </w:r>
          <w:r>
            <w:rPr>
              <w:rFonts w:ascii="Times New Roman" w:hAnsi="Times New Roman" w:cs="Times New Roman"/>
              <w:b/>
              <w:bCs/>
              <w:sz w:val="16"/>
              <w:szCs w:val="16"/>
            </w:rPr>
            <w:t>s</w:t>
          </w:r>
          <w:r w:rsidR="00136551" w:rsidRPr="00E738A5">
            <w:rPr>
              <w:rFonts w:ascii="Times New Roman" w:hAnsi="Times New Roman" w:cs="Times New Roman"/>
              <w:b/>
              <w:bCs/>
              <w:sz w:val="16"/>
              <w:szCs w:val="16"/>
            </w:rPr>
            <w:t>tr</w:t>
          </w:r>
          <w:r w:rsidR="00963B6A">
            <w:rPr>
              <w:rFonts w:ascii="Times New Roman" w:hAnsi="Times New Roman" w:cs="Times New Roman"/>
              <w:b/>
              <w:bCs/>
              <w:sz w:val="16"/>
              <w:szCs w:val="16"/>
            </w:rPr>
            <w:t>ona</w:t>
          </w:r>
          <w:r w:rsidR="00136551" w:rsidRPr="00E738A5">
            <w:rPr>
              <w:rFonts w:ascii="Times New Roman" w:hAnsi="Times New Roman" w:cs="Times New Roman"/>
              <w:b/>
              <w:bCs/>
              <w:sz w:val="16"/>
              <w:szCs w:val="16"/>
            </w:rPr>
            <w:t xml:space="preserve"> uzasadnienia</w:t>
          </w:r>
        </w:p>
        <w:p w14:paraId="0ECBAC82" w14:textId="26BFB136" w:rsidR="00136551" w:rsidRPr="00E738A5" w:rsidRDefault="00314CFD" w:rsidP="00136551">
          <w:pPr>
            <w:jc w:val="center"/>
            <w:rPr>
              <w:rFonts w:ascii="Times New Roman" w:hAnsi="Times New Roman" w:cs="Times New Roman"/>
              <w:sz w:val="16"/>
              <w:szCs w:val="16"/>
            </w:rPr>
          </w:pPr>
          <w:r>
            <w:rPr>
              <w:rFonts w:ascii="Times New Roman" w:hAnsi="Times New Roman" w:cs="Times New Roman"/>
              <w:b/>
              <w:bCs/>
              <w:sz w:val="16"/>
              <w:szCs w:val="16"/>
            </w:rPr>
            <w:t>lub</w:t>
          </w:r>
          <w:r w:rsidR="00136551">
            <w:rPr>
              <w:rFonts w:ascii="Times New Roman" w:hAnsi="Times New Roman" w:cs="Times New Roman"/>
              <w:b/>
              <w:bCs/>
              <w:sz w:val="16"/>
              <w:szCs w:val="16"/>
            </w:rPr>
            <w:br/>
          </w:r>
          <w:r>
            <w:rPr>
              <w:rFonts w:ascii="Times New Roman" w:hAnsi="Times New Roman" w:cs="Times New Roman"/>
              <w:b/>
              <w:bCs/>
              <w:sz w:val="16"/>
              <w:szCs w:val="16"/>
            </w:rPr>
            <w:t>p</w:t>
          </w:r>
          <w:r w:rsidR="00136551" w:rsidRPr="00E738A5">
            <w:rPr>
              <w:rFonts w:ascii="Times New Roman" w:hAnsi="Times New Roman" w:cs="Times New Roman"/>
              <w:b/>
              <w:bCs/>
              <w:sz w:val="16"/>
              <w:szCs w:val="16"/>
            </w:rPr>
            <w:t>kt OSR</w:t>
          </w:r>
        </w:p>
      </w:tc>
      <w:tc>
        <w:tcPr>
          <w:tcW w:w="5670" w:type="dxa"/>
          <w:vAlign w:val="center"/>
        </w:tcPr>
        <w:p w14:paraId="36A5BA4A" w14:textId="29A25B97" w:rsidR="00136551" w:rsidRPr="00E35677" w:rsidRDefault="00136551" w:rsidP="00136551">
          <w:pPr>
            <w:jc w:val="center"/>
            <w:rPr>
              <w:rFonts w:ascii="Times New Roman" w:hAnsi="Times New Roman" w:cs="Times New Roman"/>
              <w:sz w:val="20"/>
            </w:rPr>
          </w:pPr>
          <w:r>
            <w:rPr>
              <w:rFonts w:ascii="Times New Roman" w:hAnsi="Times New Roman" w:cs="Times New Roman"/>
              <w:b/>
              <w:bCs/>
              <w:sz w:val="20"/>
            </w:rPr>
            <w:t>Treść uwagi</w:t>
          </w:r>
          <w:r w:rsidR="00314CFD">
            <w:rPr>
              <w:rFonts w:ascii="Times New Roman" w:hAnsi="Times New Roman" w:cs="Times New Roman"/>
              <w:b/>
              <w:bCs/>
              <w:sz w:val="20"/>
            </w:rPr>
            <w:t>/p</w:t>
          </w:r>
          <w:r>
            <w:rPr>
              <w:rFonts w:ascii="Times New Roman" w:hAnsi="Times New Roman" w:cs="Times New Roman"/>
              <w:b/>
              <w:bCs/>
              <w:sz w:val="20"/>
            </w:rPr>
            <w:t xml:space="preserve">ropozycja </w:t>
          </w:r>
          <w:r w:rsidR="00314CFD">
            <w:rPr>
              <w:rFonts w:ascii="Times New Roman" w:hAnsi="Times New Roman" w:cs="Times New Roman"/>
              <w:b/>
              <w:bCs/>
              <w:sz w:val="20"/>
            </w:rPr>
            <w:t>prze</w:t>
          </w:r>
          <w:r>
            <w:rPr>
              <w:rFonts w:ascii="Times New Roman" w:hAnsi="Times New Roman" w:cs="Times New Roman"/>
              <w:b/>
              <w:bCs/>
              <w:sz w:val="20"/>
            </w:rPr>
            <w:t>pisu</w:t>
          </w:r>
        </w:p>
      </w:tc>
      <w:tc>
        <w:tcPr>
          <w:tcW w:w="4189" w:type="dxa"/>
        </w:tcPr>
        <w:p w14:paraId="0EE8722A" w14:textId="77777777" w:rsidR="00136551" w:rsidRDefault="00136551" w:rsidP="00136551">
          <w:pPr>
            <w:jc w:val="center"/>
            <w:rPr>
              <w:rFonts w:ascii="Times New Roman" w:hAnsi="Times New Roman" w:cs="Times New Roman"/>
              <w:b/>
              <w:bCs/>
              <w:i/>
              <w:sz w:val="20"/>
            </w:rPr>
          </w:pPr>
        </w:p>
        <w:p w14:paraId="06708177" w14:textId="5FB44390" w:rsidR="00136551" w:rsidRPr="00E35677" w:rsidRDefault="00136551" w:rsidP="00136551">
          <w:pPr>
            <w:jc w:val="center"/>
            <w:rPr>
              <w:rFonts w:ascii="Times New Roman" w:hAnsi="Times New Roman" w:cs="Times New Roman"/>
              <w:b/>
              <w:bCs/>
              <w:sz w:val="20"/>
            </w:rPr>
          </w:pPr>
          <w:r>
            <w:rPr>
              <w:rFonts w:ascii="Times New Roman" w:hAnsi="Times New Roman" w:cs="Times New Roman"/>
              <w:b/>
              <w:bCs/>
              <w:sz w:val="20"/>
            </w:rPr>
            <w:t xml:space="preserve">Stanowisko </w:t>
          </w:r>
          <w:r w:rsidR="003514BB">
            <w:rPr>
              <w:rFonts w:ascii="Times New Roman" w:hAnsi="Times New Roman" w:cs="Times New Roman"/>
              <w:b/>
              <w:bCs/>
              <w:sz w:val="20"/>
            </w:rPr>
            <w:t>MS</w:t>
          </w:r>
        </w:p>
      </w:tc>
    </w:tr>
  </w:tbl>
  <w:p w14:paraId="58721467" w14:textId="77777777" w:rsidR="00136551" w:rsidRDefault="001365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22"/>
    <w:multiLevelType w:val="hybridMultilevel"/>
    <w:tmpl w:val="1EA4D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B3421"/>
    <w:multiLevelType w:val="hybridMultilevel"/>
    <w:tmpl w:val="3F3C3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F69C8"/>
    <w:multiLevelType w:val="hybridMultilevel"/>
    <w:tmpl w:val="401489DE"/>
    <w:lvl w:ilvl="0" w:tplc="2408B1AA">
      <w:start w:val="2"/>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3" w15:restartNumberingAfterBreak="0">
    <w:nsid w:val="102E7131"/>
    <w:multiLevelType w:val="hybridMultilevel"/>
    <w:tmpl w:val="BAF4D542"/>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 w15:restartNumberingAfterBreak="0">
    <w:nsid w:val="15772F5C"/>
    <w:multiLevelType w:val="hybridMultilevel"/>
    <w:tmpl w:val="62AA7BF8"/>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 w15:restartNumberingAfterBreak="0">
    <w:nsid w:val="1784680D"/>
    <w:multiLevelType w:val="hybridMultilevel"/>
    <w:tmpl w:val="2BB4171C"/>
    <w:lvl w:ilvl="0" w:tplc="BAE6A3BE">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6" w15:restartNumberingAfterBreak="0">
    <w:nsid w:val="1F484FB4"/>
    <w:multiLevelType w:val="hybridMultilevel"/>
    <w:tmpl w:val="49FA505E"/>
    <w:lvl w:ilvl="0" w:tplc="8B141934">
      <w:start w:val="20"/>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7" w15:restartNumberingAfterBreak="0">
    <w:nsid w:val="2035363E"/>
    <w:multiLevelType w:val="hybridMultilevel"/>
    <w:tmpl w:val="BAF4D542"/>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8" w15:restartNumberingAfterBreak="0">
    <w:nsid w:val="331572DA"/>
    <w:multiLevelType w:val="hybridMultilevel"/>
    <w:tmpl w:val="BDA056DE"/>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9" w15:restartNumberingAfterBreak="0">
    <w:nsid w:val="416D46F4"/>
    <w:multiLevelType w:val="hybridMultilevel"/>
    <w:tmpl w:val="91BEBE32"/>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42F74FD3"/>
    <w:multiLevelType w:val="hybridMultilevel"/>
    <w:tmpl w:val="BAF4D542"/>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1" w15:restartNumberingAfterBreak="0">
    <w:nsid w:val="49A45834"/>
    <w:multiLevelType w:val="multilevel"/>
    <w:tmpl w:val="082E21AE"/>
    <w:lvl w:ilvl="0">
      <w:start w:val="1"/>
      <w:numFmt w:val="decimal"/>
      <w:lvlText w:val="%1)"/>
      <w:lvlJc w:val="left"/>
      <w:pPr>
        <w:ind w:left="36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4C3D7A92"/>
    <w:multiLevelType w:val="hybridMultilevel"/>
    <w:tmpl w:val="A7086286"/>
    <w:lvl w:ilvl="0" w:tplc="81422714">
      <w:start w:val="1"/>
      <w:numFmt w:val="decimal"/>
      <w:lvlText w:val="%1)"/>
      <w:lvlJc w:val="left"/>
      <w:pPr>
        <w:ind w:left="870" w:hanging="360"/>
      </w:pPr>
      <w:rPr>
        <w:rFonts w:cs="Times New Roman"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3" w15:restartNumberingAfterBreak="0">
    <w:nsid w:val="4D2C5E34"/>
    <w:multiLevelType w:val="hybridMultilevel"/>
    <w:tmpl w:val="EE0A94B4"/>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4EC052B0"/>
    <w:multiLevelType w:val="hybridMultilevel"/>
    <w:tmpl w:val="1F14AFD0"/>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53DD0B2E"/>
    <w:multiLevelType w:val="hybridMultilevel"/>
    <w:tmpl w:val="6C7EC008"/>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800F7F"/>
    <w:multiLevelType w:val="hybridMultilevel"/>
    <w:tmpl w:val="EE0A94B4"/>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7" w15:restartNumberingAfterBreak="0">
    <w:nsid w:val="6C7109D4"/>
    <w:multiLevelType w:val="hybridMultilevel"/>
    <w:tmpl w:val="F4C82F44"/>
    <w:lvl w:ilvl="0" w:tplc="BBC653A2">
      <w:start w:val="1"/>
      <w:numFmt w:val="decimal"/>
      <w:lvlText w:val="%1)"/>
      <w:lvlJc w:val="left"/>
      <w:pPr>
        <w:ind w:left="321" w:hanging="360"/>
      </w:pPr>
      <w:rPr>
        <w:rFonts w:hint="default"/>
        <w:color w:val="000000" w:themeColor="text1"/>
      </w:rPr>
    </w:lvl>
    <w:lvl w:ilvl="1" w:tplc="04150019" w:tentative="1">
      <w:start w:val="1"/>
      <w:numFmt w:val="lowerLetter"/>
      <w:lvlText w:val="%2."/>
      <w:lvlJc w:val="left"/>
      <w:pPr>
        <w:ind w:left="1041" w:hanging="360"/>
      </w:pPr>
    </w:lvl>
    <w:lvl w:ilvl="2" w:tplc="0415001B" w:tentative="1">
      <w:start w:val="1"/>
      <w:numFmt w:val="lowerRoman"/>
      <w:lvlText w:val="%3."/>
      <w:lvlJc w:val="right"/>
      <w:pPr>
        <w:ind w:left="1761" w:hanging="180"/>
      </w:pPr>
    </w:lvl>
    <w:lvl w:ilvl="3" w:tplc="0415000F" w:tentative="1">
      <w:start w:val="1"/>
      <w:numFmt w:val="decimal"/>
      <w:lvlText w:val="%4."/>
      <w:lvlJc w:val="left"/>
      <w:pPr>
        <w:ind w:left="2481" w:hanging="360"/>
      </w:pPr>
    </w:lvl>
    <w:lvl w:ilvl="4" w:tplc="04150019" w:tentative="1">
      <w:start w:val="1"/>
      <w:numFmt w:val="lowerLetter"/>
      <w:lvlText w:val="%5."/>
      <w:lvlJc w:val="left"/>
      <w:pPr>
        <w:ind w:left="3201" w:hanging="360"/>
      </w:pPr>
    </w:lvl>
    <w:lvl w:ilvl="5" w:tplc="0415001B" w:tentative="1">
      <w:start w:val="1"/>
      <w:numFmt w:val="lowerRoman"/>
      <w:lvlText w:val="%6."/>
      <w:lvlJc w:val="right"/>
      <w:pPr>
        <w:ind w:left="3921" w:hanging="180"/>
      </w:pPr>
    </w:lvl>
    <w:lvl w:ilvl="6" w:tplc="0415000F" w:tentative="1">
      <w:start w:val="1"/>
      <w:numFmt w:val="decimal"/>
      <w:lvlText w:val="%7."/>
      <w:lvlJc w:val="left"/>
      <w:pPr>
        <w:ind w:left="4641" w:hanging="360"/>
      </w:pPr>
    </w:lvl>
    <w:lvl w:ilvl="7" w:tplc="04150019" w:tentative="1">
      <w:start w:val="1"/>
      <w:numFmt w:val="lowerLetter"/>
      <w:lvlText w:val="%8."/>
      <w:lvlJc w:val="left"/>
      <w:pPr>
        <w:ind w:left="5361" w:hanging="360"/>
      </w:pPr>
    </w:lvl>
    <w:lvl w:ilvl="8" w:tplc="0415001B" w:tentative="1">
      <w:start w:val="1"/>
      <w:numFmt w:val="lowerRoman"/>
      <w:lvlText w:val="%9."/>
      <w:lvlJc w:val="right"/>
      <w:pPr>
        <w:ind w:left="6081" w:hanging="180"/>
      </w:pPr>
    </w:lvl>
  </w:abstractNum>
  <w:abstractNum w:abstractNumId="18" w15:restartNumberingAfterBreak="0">
    <w:nsid w:val="703E54E6"/>
    <w:multiLevelType w:val="hybridMultilevel"/>
    <w:tmpl w:val="1F14AFD0"/>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9" w15:restartNumberingAfterBreak="0">
    <w:nsid w:val="71A225C1"/>
    <w:multiLevelType w:val="hybridMultilevel"/>
    <w:tmpl w:val="A53C5B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2253848"/>
    <w:multiLevelType w:val="hybridMultilevel"/>
    <w:tmpl w:val="8F10F6AE"/>
    <w:lvl w:ilvl="0" w:tplc="C7B04F10">
      <w:start w:val="2"/>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21" w15:restartNumberingAfterBreak="0">
    <w:nsid w:val="764744B3"/>
    <w:multiLevelType w:val="hybridMultilevel"/>
    <w:tmpl w:val="363600DC"/>
    <w:lvl w:ilvl="0" w:tplc="FF98001A">
      <w:start w:val="1"/>
      <w:numFmt w:val="decimal"/>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7B47264F"/>
    <w:multiLevelType w:val="hybridMultilevel"/>
    <w:tmpl w:val="222087AA"/>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EB133E"/>
    <w:multiLevelType w:val="hybridMultilevel"/>
    <w:tmpl w:val="A53C5B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EC81B9E"/>
    <w:multiLevelType w:val="hybridMultilevel"/>
    <w:tmpl w:val="DAFC9EEA"/>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num w:numId="1" w16cid:durableId="1263294299">
    <w:abstractNumId w:val="5"/>
  </w:num>
  <w:num w:numId="2" w16cid:durableId="1928346674">
    <w:abstractNumId w:val="6"/>
  </w:num>
  <w:num w:numId="3" w16cid:durableId="715467715">
    <w:abstractNumId w:val="20"/>
  </w:num>
  <w:num w:numId="4" w16cid:durableId="473527055">
    <w:abstractNumId w:val="2"/>
  </w:num>
  <w:num w:numId="5" w16cid:durableId="307560840">
    <w:abstractNumId w:val="21"/>
  </w:num>
  <w:num w:numId="6" w16cid:durableId="341318090">
    <w:abstractNumId w:val="17"/>
  </w:num>
  <w:num w:numId="7" w16cid:durableId="669019641">
    <w:abstractNumId w:val="0"/>
  </w:num>
  <w:num w:numId="8" w16cid:durableId="160313311">
    <w:abstractNumId w:val="1"/>
  </w:num>
  <w:num w:numId="9" w16cid:durableId="1328438489">
    <w:abstractNumId w:val="15"/>
  </w:num>
  <w:num w:numId="10" w16cid:durableId="1168520527">
    <w:abstractNumId w:val="8"/>
  </w:num>
  <w:num w:numId="11" w16cid:durableId="1458983259">
    <w:abstractNumId w:val="24"/>
  </w:num>
  <w:num w:numId="12" w16cid:durableId="101076855">
    <w:abstractNumId w:val="22"/>
  </w:num>
  <w:num w:numId="13" w16cid:durableId="1419522992">
    <w:abstractNumId w:val="16"/>
  </w:num>
  <w:num w:numId="14" w16cid:durableId="694961097">
    <w:abstractNumId w:val="13"/>
  </w:num>
  <w:num w:numId="15" w16cid:durableId="319777650">
    <w:abstractNumId w:val="9"/>
  </w:num>
  <w:num w:numId="16" w16cid:durableId="74401415">
    <w:abstractNumId w:val="4"/>
  </w:num>
  <w:num w:numId="17" w16cid:durableId="842747190">
    <w:abstractNumId w:val="11"/>
  </w:num>
  <w:num w:numId="18" w16cid:durableId="2121607385">
    <w:abstractNumId w:val="12"/>
  </w:num>
  <w:num w:numId="19" w16cid:durableId="1420758002">
    <w:abstractNumId w:val="10"/>
  </w:num>
  <w:num w:numId="20" w16cid:durableId="1080906669">
    <w:abstractNumId w:val="7"/>
  </w:num>
  <w:num w:numId="21" w16cid:durableId="2006977038">
    <w:abstractNumId w:val="3"/>
  </w:num>
  <w:num w:numId="22" w16cid:durableId="72241673">
    <w:abstractNumId w:val="18"/>
  </w:num>
  <w:num w:numId="23" w16cid:durableId="784349384">
    <w:abstractNumId w:val="14"/>
  </w:num>
  <w:num w:numId="24" w16cid:durableId="1512909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0356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57"/>
    <w:rsid w:val="000002F3"/>
    <w:rsid w:val="0001501B"/>
    <w:rsid w:val="000153D6"/>
    <w:rsid w:val="000161F5"/>
    <w:rsid w:val="00017F99"/>
    <w:rsid w:val="000201EB"/>
    <w:rsid w:val="0002291B"/>
    <w:rsid w:val="000361E2"/>
    <w:rsid w:val="00043D6B"/>
    <w:rsid w:val="00047194"/>
    <w:rsid w:val="00054E11"/>
    <w:rsid w:val="000566FC"/>
    <w:rsid w:val="000662BB"/>
    <w:rsid w:val="00084004"/>
    <w:rsid w:val="00084817"/>
    <w:rsid w:val="00084A2A"/>
    <w:rsid w:val="00085E2E"/>
    <w:rsid w:val="000911E2"/>
    <w:rsid w:val="00091F2A"/>
    <w:rsid w:val="00093C26"/>
    <w:rsid w:val="000A1628"/>
    <w:rsid w:val="000A32E5"/>
    <w:rsid w:val="000B1157"/>
    <w:rsid w:val="000B346A"/>
    <w:rsid w:val="000C00BA"/>
    <w:rsid w:val="000C2581"/>
    <w:rsid w:val="000C2E71"/>
    <w:rsid w:val="000D3780"/>
    <w:rsid w:val="000D5B0B"/>
    <w:rsid w:val="000F2507"/>
    <w:rsid w:val="000F60F2"/>
    <w:rsid w:val="001146C0"/>
    <w:rsid w:val="0013373B"/>
    <w:rsid w:val="001361B5"/>
    <w:rsid w:val="00136551"/>
    <w:rsid w:val="00140448"/>
    <w:rsid w:val="00141978"/>
    <w:rsid w:val="001470CE"/>
    <w:rsid w:val="00151C2E"/>
    <w:rsid w:val="00160DFF"/>
    <w:rsid w:val="00170B98"/>
    <w:rsid w:val="00170E91"/>
    <w:rsid w:val="00177EC3"/>
    <w:rsid w:val="00186B6F"/>
    <w:rsid w:val="00187D24"/>
    <w:rsid w:val="00187E3D"/>
    <w:rsid w:val="00190C60"/>
    <w:rsid w:val="0019322F"/>
    <w:rsid w:val="00193AB3"/>
    <w:rsid w:val="001A3C91"/>
    <w:rsid w:val="001A6A56"/>
    <w:rsid w:val="001C4E87"/>
    <w:rsid w:val="001E01AE"/>
    <w:rsid w:val="001E459D"/>
    <w:rsid w:val="001F0431"/>
    <w:rsid w:val="001F1F78"/>
    <w:rsid w:val="001F3A0F"/>
    <w:rsid w:val="001F4958"/>
    <w:rsid w:val="001F51B9"/>
    <w:rsid w:val="0020210D"/>
    <w:rsid w:val="0020383B"/>
    <w:rsid w:val="00211E49"/>
    <w:rsid w:val="00214502"/>
    <w:rsid w:val="00242233"/>
    <w:rsid w:val="0024476B"/>
    <w:rsid w:val="00252F32"/>
    <w:rsid w:val="002618F3"/>
    <w:rsid w:val="002662EA"/>
    <w:rsid w:val="00271B94"/>
    <w:rsid w:val="002724CC"/>
    <w:rsid w:val="00275F4B"/>
    <w:rsid w:val="00282ADB"/>
    <w:rsid w:val="0028475B"/>
    <w:rsid w:val="002860D9"/>
    <w:rsid w:val="002936DB"/>
    <w:rsid w:val="002968CB"/>
    <w:rsid w:val="002A11F8"/>
    <w:rsid w:val="002A3F06"/>
    <w:rsid w:val="002A6ED8"/>
    <w:rsid w:val="002B3D3E"/>
    <w:rsid w:val="002B44EC"/>
    <w:rsid w:val="002B51BD"/>
    <w:rsid w:val="002C46ED"/>
    <w:rsid w:val="002C53B8"/>
    <w:rsid w:val="002D571D"/>
    <w:rsid w:val="002D60B8"/>
    <w:rsid w:val="002E0918"/>
    <w:rsid w:val="002F302C"/>
    <w:rsid w:val="002F5D80"/>
    <w:rsid w:val="00305483"/>
    <w:rsid w:val="00314CFD"/>
    <w:rsid w:val="00322BC5"/>
    <w:rsid w:val="003243F9"/>
    <w:rsid w:val="003344E3"/>
    <w:rsid w:val="0033797A"/>
    <w:rsid w:val="003462B1"/>
    <w:rsid w:val="003514BB"/>
    <w:rsid w:val="003565A1"/>
    <w:rsid w:val="003706A6"/>
    <w:rsid w:val="00371124"/>
    <w:rsid w:val="00381171"/>
    <w:rsid w:val="003A430E"/>
    <w:rsid w:val="003C1000"/>
    <w:rsid w:val="003C1307"/>
    <w:rsid w:val="003D1CAB"/>
    <w:rsid w:val="003D2B9E"/>
    <w:rsid w:val="003D38BE"/>
    <w:rsid w:val="003D7D21"/>
    <w:rsid w:val="003E5D74"/>
    <w:rsid w:val="003F0432"/>
    <w:rsid w:val="003F148E"/>
    <w:rsid w:val="003F2ED2"/>
    <w:rsid w:val="00400E97"/>
    <w:rsid w:val="00405079"/>
    <w:rsid w:val="00414EA2"/>
    <w:rsid w:val="00417216"/>
    <w:rsid w:val="00430ADA"/>
    <w:rsid w:val="00443077"/>
    <w:rsid w:val="00450399"/>
    <w:rsid w:val="00452E52"/>
    <w:rsid w:val="004569E1"/>
    <w:rsid w:val="004577CA"/>
    <w:rsid w:val="00462F0E"/>
    <w:rsid w:val="0047582C"/>
    <w:rsid w:val="004977F7"/>
    <w:rsid w:val="004A28E0"/>
    <w:rsid w:val="004A7895"/>
    <w:rsid w:val="004B1553"/>
    <w:rsid w:val="004B1644"/>
    <w:rsid w:val="004C2F6D"/>
    <w:rsid w:val="004E0816"/>
    <w:rsid w:val="004E7994"/>
    <w:rsid w:val="004F5F18"/>
    <w:rsid w:val="0050045E"/>
    <w:rsid w:val="005040BC"/>
    <w:rsid w:val="005054C0"/>
    <w:rsid w:val="0051434B"/>
    <w:rsid w:val="0051743F"/>
    <w:rsid w:val="00537F4C"/>
    <w:rsid w:val="005418E2"/>
    <w:rsid w:val="0054575C"/>
    <w:rsid w:val="00545CD3"/>
    <w:rsid w:val="005471C2"/>
    <w:rsid w:val="00550EAD"/>
    <w:rsid w:val="00553107"/>
    <w:rsid w:val="00555265"/>
    <w:rsid w:val="00563A78"/>
    <w:rsid w:val="00565B12"/>
    <w:rsid w:val="0057151E"/>
    <w:rsid w:val="005756BE"/>
    <w:rsid w:val="00575BE0"/>
    <w:rsid w:val="00576D40"/>
    <w:rsid w:val="0058530C"/>
    <w:rsid w:val="00592953"/>
    <w:rsid w:val="005957AF"/>
    <w:rsid w:val="005A5DD9"/>
    <w:rsid w:val="005A7AD5"/>
    <w:rsid w:val="005B7004"/>
    <w:rsid w:val="005C23F7"/>
    <w:rsid w:val="005C644D"/>
    <w:rsid w:val="005D442D"/>
    <w:rsid w:val="005E3599"/>
    <w:rsid w:val="005F7563"/>
    <w:rsid w:val="00600342"/>
    <w:rsid w:val="00602CEE"/>
    <w:rsid w:val="00611583"/>
    <w:rsid w:val="006156DE"/>
    <w:rsid w:val="00621334"/>
    <w:rsid w:val="0063071F"/>
    <w:rsid w:val="006315C4"/>
    <w:rsid w:val="006354CF"/>
    <w:rsid w:val="006375BD"/>
    <w:rsid w:val="00644344"/>
    <w:rsid w:val="00644E3A"/>
    <w:rsid w:val="00650E16"/>
    <w:rsid w:val="006540FB"/>
    <w:rsid w:val="00664802"/>
    <w:rsid w:val="006669AD"/>
    <w:rsid w:val="00666B2B"/>
    <w:rsid w:val="0067271E"/>
    <w:rsid w:val="00674BCF"/>
    <w:rsid w:val="006771BA"/>
    <w:rsid w:val="00682C1C"/>
    <w:rsid w:val="0069368F"/>
    <w:rsid w:val="00697818"/>
    <w:rsid w:val="006A1D66"/>
    <w:rsid w:val="006B6ED9"/>
    <w:rsid w:val="006C2BC9"/>
    <w:rsid w:val="006C42B2"/>
    <w:rsid w:val="006C7994"/>
    <w:rsid w:val="006D0AE4"/>
    <w:rsid w:val="006D2496"/>
    <w:rsid w:val="006D307A"/>
    <w:rsid w:val="006E3E8F"/>
    <w:rsid w:val="006F0D7B"/>
    <w:rsid w:val="006F1155"/>
    <w:rsid w:val="006F6137"/>
    <w:rsid w:val="00700551"/>
    <w:rsid w:val="007018E8"/>
    <w:rsid w:val="007023BB"/>
    <w:rsid w:val="00712752"/>
    <w:rsid w:val="007166EC"/>
    <w:rsid w:val="00730C35"/>
    <w:rsid w:val="00735AA5"/>
    <w:rsid w:val="00741A58"/>
    <w:rsid w:val="00742660"/>
    <w:rsid w:val="00750CCB"/>
    <w:rsid w:val="00751B0F"/>
    <w:rsid w:val="00755562"/>
    <w:rsid w:val="00756A51"/>
    <w:rsid w:val="0076077D"/>
    <w:rsid w:val="007653FF"/>
    <w:rsid w:val="00766F26"/>
    <w:rsid w:val="0077067E"/>
    <w:rsid w:val="00791FE5"/>
    <w:rsid w:val="00795E6F"/>
    <w:rsid w:val="007A627A"/>
    <w:rsid w:val="007A7EE2"/>
    <w:rsid w:val="007B1BB1"/>
    <w:rsid w:val="007B429F"/>
    <w:rsid w:val="007C2560"/>
    <w:rsid w:val="007D0B00"/>
    <w:rsid w:val="007D1B65"/>
    <w:rsid w:val="007D1C64"/>
    <w:rsid w:val="007E4CBE"/>
    <w:rsid w:val="007E6010"/>
    <w:rsid w:val="007F2ADB"/>
    <w:rsid w:val="007F39C0"/>
    <w:rsid w:val="007F4AAF"/>
    <w:rsid w:val="00814CE9"/>
    <w:rsid w:val="008203CF"/>
    <w:rsid w:val="00830132"/>
    <w:rsid w:val="00831113"/>
    <w:rsid w:val="0083519A"/>
    <w:rsid w:val="0084142E"/>
    <w:rsid w:val="00844D96"/>
    <w:rsid w:val="00852D75"/>
    <w:rsid w:val="008531D9"/>
    <w:rsid w:val="00865AF4"/>
    <w:rsid w:val="008711E1"/>
    <w:rsid w:val="008763FA"/>
    <w:rsid w:val="008842F2"/>
    <w:rsid w:val="008911D0"/>
    <w:rsid w:val="0089432C"/>
    <w:rsid w:val="00897465"/>
    <w:rsid w:val="008A1E33"/>
    <w:rsid w:val="008B68BE"/>
    <w:rsid w:val="008D4AD8"/>
    <w:rsid w:val="008E3179"/>
    <w:rsid w:val="008E7174"/>
    <w:rsid w:val="00901379"/>
    <w:rsid w:val="00925F56"/>
    <w:rsid w:val="00933852"/>
    <w:rsid w:val="00941156"/>
    <w:rsid w:val="009532CB"/>
    <w:rsid w:val="00954430"/>
    <w:rsid w:val="00954DA6"/>
    <w:rsid w:val="00957335"/>
    <w:rsid w:val="00963B6A"/>
    <w:rsid w:val="00963DC2"/>
    <w:rsid w:val="0096500F"/>
    <w:rsid w:val="009672B1"/>
    <w:rsid w:val="009743F9"/>
    <w:rsid w:val="009768E8"/>
    <w:rsid w:val="00983A14"/>
    <w:rsid w:val="009923E7"/>
    <w:rsid w:val="009A3389"/>
    <w:rsid w:val="009B5AD3"/>
    <w:rsid w:val="009B6363"/>
    <w:rsid w:val="009B7A82"/>
    <w:rsid w:val="009C39F6"/>
    <w:rsid w:val="009C45A9"/>
    <w:rsid w:val="009C6BF4"/>
    <w:rsid w:val="009D02A7"/>
    <w:rsid w:val="009D18BA"/>
    <w:rsid w:val="009D30E0"/>
    <w:rsid w:val="009D37DC"/>
    <w:rsid w:val="009D4953"/>
    <w:rsid w:val="009D4AF3"/>
    <w:rsid w:val="009E30BA"/>
    <w:rsid w:val="00A11E28"/>
    <w:rsid w:val="00A1326C"/>
    <w:rsid w:val="00A3318A"/>
    <w:rsid w:val="00A40695"/>
    <w:rsid w:val="00A407A4"/>
    <w:rsid w:val="00A4163A"/>
    <w:rsid w:val="00A4538A"/>
    <w:rsid w:val="00A53CBC"/>
    <w:rsid w:val="00A61639"/>
    <w:rsid w:val="00A64143"/>
    <w:rsid w:val="00A65542"/>
    <w:rsid w:val="00A76726"/>
    <w:rsid w:val="00A82C9E"/>
    <w:rsid w:val="00A84FC9"/>
    <w:rsid w:val="00A92454"/>
    <w:rsid w:val="00AA3456"/>
    <w:rsid w:val="00AC0365"/>
    <w:rsid w:val="00AC4179"/>
    <w:rsid w:val="00AD2E3B"/>
    <w:rsid w:val="00AF2DCB"/>
    <w:rsid w:val="00AF5118"/>
    <w:rsid w:val="00AF5CDF"/>
    <w:rsid w:val="00B0068C"/>
    <w:rsid w:val="00B03A96"/>
    <w:rsid w:val="00B0487A"/>
    <w:rsid w:val="00B128C5"/>
    <w:rsid w:val="00B15F59"/>
    <w:rsid w:val="00B165E5"/>
    <w:rsid w:val="00B22AB6"/>
    <w:rsid w:val="00B241C8"/>
    <w:rsid w:val="00B3322F"/>
    <w:rsid w:val="00B4688A"/>
    <w:rsid w:val="00B54306"/>
    <w:rsid w:val="00B6038D"/>
    <w:rsid w:val="00B72216"/>
    <w:rsid w:val="00B809BB"/>
    <w:rsid w:val="00B81B90"/>
    <w:rsid w:val="00B919AF"/>
    <w:rsid w:val="00B936C2"/>
    <w:rsid w:val="00BA173B"/>
    <w:rsid w:val="00BA785D"/>
    <w:rsid w:val="00BB2FF9"/>
    <w:rsid w:val="00BD1AB7"/>
    <w:rsid w:val="00BD3CE2"/>
    <w:rsid w:val="00BD6AA6"/>
    <w:rsid w:val="00BE469D"/>
    <w:rsid w:val="00C11954"/>
    <w:rsid w:val="00C14830"/>
    <w:rsid w:val="00C14B5D"/>
    <w:rsid w:val="00C2074A"/>
    <w:rsid w:val="00C22A1F"/>
    <w:rsid w:val="00C30452"/>
    <w:rsid w:val="00C30FF0"/>
    <w:rsid w:val="00C51C30"/>
    <w:rsid w:val="00C60BA3"/>
    <w:rsid w:val="00C63F1E"/>
    <w:rsid w:val="00C70BF5"/>
    <w:rsid w:val="00C71CAF"/>
    <w:rsid w:val="00C766B6"/>
    <w:rsid w:val="00C962B8"/>
    <w:rsid w:val="00C972A5"/>
    <w:rsid w:val="00CA2A44"/>
    <w:rsid w:val="00CB0971"/>
    <w:rsid w:val="00CB5636"/>
    <w:rsid w:val="00CC43E0"/>
    <w:rsid w:val="00CC56D9"/>
    <w:rsid w:val="00CE2100"/>
    <w:rsid w:val="00CE3975"/>
    <w:rsid w:val="00CE5444"/>
    <w:rsid w:val="00CE590D"/>
    <w:rsid w:val="00CE74C5"/>
    <w:rsid w:val="00CF519A"/>
    <w:rsid w:val="00D014F7"/>
    <w:rsid w:val="00D01803"/>
    <w:rsid w:val="00D02157"/>
    <w:rsid w:val="00D067CA"/>
    <w:rsid w:val="00D11479"/>
    <w:rsid w:val="00D146C0"/>
    <w:rsid w:val="00D23483"/>
    <w:rsid w:val="00D34082"/>
    <w:rsid w:val="00D345DF"/>
    <w:rsid w:val="00D36AF1"/>
    <w:rsid w:val="00D53619"/>
    <w:rsid w:val="00D54DB1"/>
    <w:rsid w:val="00D64733"/>
    <w:rsid w:val="00D74495"/>
    <w:rsid w:val="00D75ACA"/>
    <w:rsid w:val="00D87969"/>
    <w:rsid w:val="00D9064C"/>
    <w:rsid w:val="00D95599"/>
    <w:rsid w:val="00D97B00"/>
    <w:rsid w:val="00DB4B48"/>
    <w:rsid w:val="00DC53ED"/>
    <w:rsid w:val="00DC69F9"/>
    <w:rsid w:val="00DE186F"/>
    <w:rsid w:val="00DF0072"/>
    <w:rsid w:val="00DF1B7C"/>
    <w:rsid w:val="00DF37BB"/>
    <w:rsid w:val="00E155C3"/>
    <w:rsid w:val="00E1573E"/>
    <w:rsid w:val="00E23A7D"/>
    <w:rsid w:val="00E23F26"/>
    <w:rsid w:val="00E2744F"/>
    <w:rsid w:val="00E35677"/>
    <w:rsid w:val="00E3630E"/>
    <w:rsid w:val="00E418E8"/>
    <w:rsid w:val="00E45467"/>
    <w:rsid w:val="00E511EC"/>
    <w:rsid w:val="00E64FC4"/>
    <w:rsid w:val="00E67BF3"/>
    <w:rsid w:val="00E7267B"/>
    <w:rsid w:val="00E738A5"/>
    <w:rsid w:val="00E74F02"/>
    <w:rsid w:val="00E75014"/>
    <w:rsid w:val="00E7699F"/>
    <w:rsid w:val="00E92DC4"/>
    <w:rsid w:val="00E95011"/>
    <w:rsid w:val="00EA2469"/>
    <w:rsid w:val="00EB163B"/>
    <w:rsid w:val="00EB2E3E"/>
    <w:rsid w:val="00EB3D0E"/>
    <w:rsid w:val="00EB5B1E"/>
    <w:rsid w:val="00EC33A8"/>
    <w:rsid w:val="00EC7543"/>
    <w:rsid w:val="00ED0778"/>
    <w:rsid w:val="00EE4A95"/>
    <w:rsid w:val="00EF3099"/>
    <w:rsid w:val="00F02D0E"/>
    <w:rsid w:val="00F10E5E"/>
    <w:rsid w:val="00F11CBF"/>
    <w:rsid w:val="00F2324B"/>
    <w:rsid w:val="00F2556A"/>
    <w:rsid w:val="00F35DDF"/>
    <w:rsid w:val="00F420A0"/>
    <w:rsid w:val="00F43ABB"/>
    <w:rsid w:val="00F466C4"/>
    <w:rsid w:val="00F46BB7"/>
    <w:rsid w:val="00F671C1"/>
    <w:rsid w:val="00F73229"/>
    <w:rsid w:val="00F745F6"/>
    <w:rsid w:val="00F80086"/>
    <w:rsid w:val="00F81237"/>
    <w:rsid w:val="00F9673B"/>
    <w:rsid w:val="00FA244F"/>
    <w:rsid w:val="00FA251F"/>
    <w:rsid w:val="00FA47E1"/>
    <w:rsid w:val="00FD21E7"/>
    <w:rsid w:val="00FD42A3"/>
    <w:rsid w:val="00FD481C"/>
    <w:rsid w:val="00FD4AAB"/>
    <w:rsid w:val="00FD7445"/>
    <w:rsid w:val="00FD7CD5"/>
    <w:rsid w:val="00FE667A"/>
    <w:rsid w:val="00FF0E71"/>
    <w:rsid w:val="00FF2430"/>
    <w:rsid w:val="00FF2888"/>
    <w:rsid w:val="00FF381F"/>
    <w:rsid w:val="00FF4480"/>
    <w:rsid w:val="00FF5B6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AD5C"/>
  <w15:docId w15:val="{D585241F-67E6-4E3E-BD64-3CB70F73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4A28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77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06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06A6"/>
    <w:rPr>
      <w:rFonts w:ascii="Tahoma" w:hAnsi="Tahoma" w:cs="Tahoma"/>
      <w:sz w:val="16"/>
      <w:szCs w:val="16"/>
    </w:rPr>
  </w:style>
  <w:style w:type="paragraph" w:customStyle="1" w:styleId="TYTUAKTUprzedmiotregulacjiustawylubrozporzdzenia">
    <w:name w:val="TYTUŁ_AKTU – przedmiot regulacji ustawy lub rozporządzenia"/>
    <w:next w:val="Normalny"/>
    <w:uiPriority w:val="6"/>
    <w:qFormat/>
    <w:rsid w:val="003706A6"/>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ARTartustawynprozporzdzenia">
    <w:name w:val="ART(§) – art. ustawy (§ np. rozporządzenia)"/>
    <w:uiPriority w:val="11"/>
    <w:qFormat/>
    <w:rsid w:val="00983A1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983A14"/>
    <w:pPr>
      <w:spacing w:after="0" w:line="360" w:lineRule="auto"/>
      <w:ind w:left="510" w:hanging="510"/>
      <w:jc w:val="both"/>
    </w:pPr>
    <w:rPr>
      <w:rFonts w:ascii="Times" w:eastAsia="Times New Roman" w:hAnsi="Times" w:cs="Arial"/>
      <w:bCs/>
      <w:sz w:val="24"/>
      <w:szCs w:val="20"/>
      <w:lang w:eastAsia="pl-PL"/>
    </w:rPr>
  </w:style>
  <w:style w:type="character" w:styleId="Odwoaniedokomentarza">
    <w:name w:val="annotation reference"/>
    <w:uiPriority w:val="99"/>
    <w:semiHidden/>
    <w:rsid w:val="00983A14"/>
    <w:rPr>
      <w:sz w:val="16"/>
      <w:szCs w:val="16"/>
    </w:rPr>
  </w:style>
  <w:style w:type="paragraph" w:styleId="Tekstkomentarza">
    <w:name w:val="annotation text"/>
    <w:basedOn w:val="Normalny"/>
    <w:link w:val="TekstkomentarzaZnak"/>
    <w:uiPriority w:val="99"/>
    <w:semiHidden/>
    <w:rsid w:val="00983A14"/>
    <w:pPr>
      <w:widowControl w:val="0"/>
      <w:autoSpaceDE w:val="0"/>
      <w:autoSpaceDN w:val="0"/>
      <w:adjustRightInd w:val="0"/>
      <w:spacing w:after="0" w:line="360" w:lineRule="auto"/>
    </w:pPr>
    <w:rPr>
      <w:rFonts w:ascii="Times" w:eastAsia="Times New Roman" w:hAnsi="Times" w:cs="Times New Roman"/>
      <w:sz w:val="24"/>
      <w:szCs w:val="24"/>
      <w:lang w:eastAsia="pl-PL"/>
    </w:rPr>
  </w:style>
  <w:style w:type="character" w:customStyle="1" w:styleId="TekstkomentarzaZnak">
    <w:name w:val="Tekst komentarza Znak"/>
    <w:basedOn w:val="Domylnaczcionkaakapitu"/>
    <w:link w:val="Tekstkomentarza"/>
    <w:uiPriority w:val="99"/>
    <w:semiHidden/>
    <w:rsid w:val="00983A14"/>
    <w:rPr>
      <w:rFonts w:ascii="Times" w:eastAsia="Times New Roman" w:hAnsi="Times" w:cs="Times New Roman"/>
      <w:sz w:val="24"/>
      <w:szCs w:val="24"/>
      <w:lang w:eastAsia="pl-PL"/>
    </w:rPr>
  </w:style>
  <w:style w:type="character" w:customStyle="1" w:styleId="Ppogrubienie">
    <w:name w:val="_P_ – pogrubienie"/>
    <w:uiPriority w:val="1"/>
    <w:qFormat/>
    <w:rsid w:val="00983A14"/>
    <w:rPr>
      <w:b/>
    </w:rPr>
  </w:style>
  <w:style w:type="paragraph" w:styleId="Akapitzlist">
    <w:name w:val="List Paragraph"/>
    <w:basedOn w:val="Normalny"/>
    <w:uiPriority w:val="72"/>
    <w:qFormat/>
    <w:rsid w:val="00983A14"/>
    <w:pPr>
      <w:ind w:left="720"/>
      <w:contextualSpacing/>
    </w:pPr>
  </w:style>
  <w:style w:type="paragraph" w:customStyle="1" w:styleId="USTustnpkodeksu">
    <w:name w:val="UST(§) – ust. (§ np. kodeksu)"/>
    <w:basedOn w:val="ARTartustawynprozporzdzenia"/>
    <w:uiPriority w:val="12"/>
    <w:qFormat/>
    <w:rsid w:val="009A3389"/>
    <w:pPr>
      <w:spacing w:before="0"/>
    </w:pPr>
    <w:rPr>
      <w:bCs/>
    </w:rPr>
  </w:style>
  <w:style w:type="paragraph" w:styleId="Nagwek">
    <w:name w:val="header"/>
    <w:basedOn w:val="Normalny"/>
    <w:link w:val="NagwekZnak"/>
    <w:uiPriority w:val="99"/>
    <w:unhideWhenUsed/>
    <w:rsid w:val="00735A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AA5"/>
  </w:style>
  <w:style w:type="paragraph" w:styleId="Stopka">
    <w:name w:val="footer"/>
    <w:basedOn w:val="Normalny"/>
    <w:link w:val="StopkaZnak"/>
    <w:uiPriority w:val="99"/>
    <w:unhideWhenUsed/>
    <w:rsid w:val="00735A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AA5"/>
  </w:style>
  <w:style w:type="character" w:customStyle="1" w:styleId="Nagwek2Znak">
    <w:name w:val="Nagłówek 2 Znak"/>
    <w:basedOn w:val="Domylnaczcionkaakapitu"/>
    <w:link w:val="Nagwek2"/>
    <w:uiPriority w:val="9"/>
    <w:rsid w:val="004A28E0"/>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rsid w:val="00B543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54306"/>
    <w:rPr>
      <w:rFonts w:ascii="Times New Roman" w:eastAsia="Times New Roman" w:hAnsi="Times New Roman" w:cs="Times New Roman"/>
      <w:sz w:val="20"/>
      <w:szCs w:val="20"/>
      <w:lang w:eastAsia="pl-PL"/>
    </w:rPr>
  </w:style>
  <w:style w:type="character" w:styleId="Odwoanieprzypisudolnego">
    <w:name w:val="footnote reference"/>
    <w:aliases w:val="FZ"/>
    <w:rsid w:val="00B54306"/>
    <w:rPr>
      <w:vertAlign w:val="superscript"/>
    </w:rPr>
  </w:style>
  <w:style w:type="character" w:styleId="Hipercze">
    <w:name w:val="Hyperlink"/>
    <w:basedOn w:val="Domylnaczcionkaakapitu"/>
    <w:uiPriority w:val="99"/>
    <w:semiHidden/>
    <w:unhideWhenUsed/>
    <w:rsid w:val="009B5AD3"/>
    <w:rPr>
      <w:color w:val="0000FF"/>
      <w:u w:val="single"/>
    </w:rPr>
  </w:style>
  <w:style w:type="paragraph" w:styleId="Poprawka">
    <w:name w:val="Revision"/>
    <w:hidden/>
    <w:uiPriority w:val="99"/>
    <w:semiHidden/>
    <w:rsid w:val="00CB0971"/>
    <w:pPr>
      <w:spacing w:after="0" w:line="240" w:lineRule="auto"/>
    </w:pPr>
  </w:style>
  <w:style w:type="paragraph" w:customStyle="1" w:styleId="Style7">
    <w:name w:val="Style7"/>
    <w:basedOn w:val="Normalny"/>
    <w:uiPriority w:val="99"/>
    <w:rsid w:val="00170E91"/>
    <w:pPr>
      <w:widowControl w:val="0"/>
      <w:autoSpaceDE w:val="0"/>
      <w:autoSpaceDN w:val="0"/>
      <w:adjustRightInd w:val="0"/>
      <w:spacing w:after="0" w:line="418" w:lineRule="exact"/>
      <w:ind w:firstLine="713"/>
      <w:jc w:val="both"/>
    </w:pPr>
    <w:rPr>
      <w:rFonts w:ascii="Times New Roman" w:eastAsiaTheme="minorEastAsia" w:hAnsi="Times New Roman" w:cs="Times New Roman"/>
      <w:sz w:val="24"/>
      <w:szCs w:val="24"/>
      <w:lang w:eastAsia="pl-PL"/>
    </w:rPr>
  </w:style>
  <w:style w:type="character" w:customStyle="1" w:styleId="FontStyle16">
    <w:name w:val="Font Style16"/>
    <w:basedOn w:val="Domylnaczcionkaakapitu"/>
    <w:uiPriority w:val="99"/>
    <w:rsid w:val="00170E91"/>
    <w:rPr>
      <w:rFonts w:ascii="Times New Roman" w:hAnsi="Times New Roman" w:cs="Times New Roman"/>
      <w:sz w:val="22"/>
      <w:szCs w:val="22"/>
    </w:rPr>
  </w:style>
  <w:style w:type="character" w:customStyle="1" w:styleId="FontStyle20">
    <w:name w:val="Font Style20"/>
    <w:basedOn w:val="Domylnaczcionkaakapitu"/>
    <w:uiPriority w:val="99"/>
    <w:rsid w:val="00170E91"/>
    <w:rPr>
      <w:rFonts w:ascii="Times New Roman" w:hAnsi="Times New Roman" w:cs="Times New Roman"/>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5112">
      <w:bodyDiv w:val="1"/>
      <w:marLeft w:val="0"/>
      <w:marRight w:val="0"/>
      <w:marTop w:val="0"/>
      <w:marBottom w:val="0"/>
      <w:divBdr>
        <w:top w:val="none" w:sz="0" w:space="0" w:color="auto"/>
        <w:left w:val="none" w:sz="0" w:space="0" w:color="auto"/>
        <w:bottom w:val="none" w:sz="0" w:space="0" w:color="auto"/>
        <w:right w:val="none" w:sz="0" w:space="0" w:color="auto"/>
      </w:divBdr>
      <w:divsChild>
        <w:div w:id="635184932">
          <w:marLeft w:val="0"/>
          <w:marRight w:val="0"/>
          <w:marTop w:val="0"/>
          <w:marBottom w:val="0"/>
          <w:divBdr>
            <w:top w:val="none" w:sz="0" w:space="0" w:color="auto"/>
            <w:left w:val="none" w:sz="0" w:space="0" w:color="auto"/>
            <w:bottom w:val="none" w:sz="0" w:space="0" w:color="auto"/>
            <w:right w:val="none" w:sz="0" w:space="0" w:color="auto"/>
          </w:divBdr>
        </w:div>
        <w:div w:id="658534783">
          <w:marLeft w:val="0"/>
          <w:marRight w:val="0"/>
          <w:marTop w:val="0"/>
          <w:marBottom w:val="0"/>
          <w:divBdr>
            <w:top w:val="none" w:sz="0" w:space="0" w:color="auto"/>
            <w:left w:val="none" w:sz="0" w:space="0" w:color="auto"/>
            <w:bottom w:val="none" w:sz="0" w:space="0" w:color="auto"/>
            <w:right w:val="none" w:sz="0" w:space="0" w:color="auto"/>
          </w:divBdr>
        </w:div>
        <w:div w:id="1205867829">
          <w:marLeft w:val="0"/>
          <w:marRight w:val="0"/>
          <w:marTop w:val="0"/>
          <w:marBottom w:val="0"/>
          <w:divBdr>
            <w:top w:val="none" w:sz="0" w:space="0" w:color="auto"/>
            <w:left w:val="none" w:sz="0" w:space="0" w:color="auto"/>
            <w:bottom w:val="none" w:sz="0" w:space="0" w:color="auto"/>
            <w:right w:val="none" w:sz="0" w:space="0" w:color="auto"/>
          </w:divBdr>
        </w:div>
        <w:div w:id="494761458">
          <w:marLeft w:val="0"/>
          <w:marRight w:val="0"/>
          <w:marTop w:val="0"/>
          <w:marBottom w:val="0"/>
          <w:divBdr>
            <w:top w:val="none" w:sz="0" w:space="0" w:color="auto"/>
            <w:left w:val="none" w:sz="0" w:space="0" w:color="auto"/>
            <w:bottom w:val="none" w:sz="0" w:space="0" w:color="auto"/>
            <w:right w:val="none" w:sz="0" w:space="0" w:color="auto"/>
          </w:divBdr>
        </w:div>
        <w:div w:id="1630093134">
          <w:marLeft w:val="0"/>
          <w:marRight w:val="0"/>
          <w:marTop w:val="0"/>
          <w:marBottom w:val="0"/>
          <w:divBdr>
            <w:top w:val="none" w:sz="0" w:space="0" w:color="auto"/>
            <w:left w:val="none" w:sz="0" w:space="0" w:color="auto"/>
            <w:bottom w:val="none" w:sz="0" w:space="0" w:color="auto"/>
            <w:right w:val="none" w:sz="0" w:space="0" w:color="auto"/>
          </w:divBdr>
        </w:div>
        <w:div w:id="841506757">
          <w:marLeft w:val="0"/>
          <w:marRight w:val="0"/>
          <w:marTop w:val="0"/>
          <w:marBottom w:val="0"/>
          <w:divBdr>
            <w:top w:val="none" w:sz="0" w:space="0" w:color="auto"/>
            <w:left w:val="none" w:sz="0" w:space="0" w:color="auto"/>
            <w:bottom w:val="none" w:sz="0" w:space="0" w:color="auto"/>
            <w:right w:val="none" w:sz="0" w:space="0" w:color="auto"/>
          </w:divBdr>
        </w:div>
        <w:div w:id="523052841">
          <w:marLeft w:val="0"/>
          <w:marRight w:val="0"/>
          <w:marTop w:val="0"/>
          <w:marBottom w:val="0"/>
          <w:divBdr>
            <w:top w:val="none" w:sz="0" w:space="0" w:color="auto"/>
            <w:left w:val="none" w:sz="0" w:space="0" w:color="auto"/>
            <w:bottom w:val="none" w:sz="0" w:space="0" w:color="auto"/>
            <w:right w:val="none" w:sz="0" w:space="0" w:color="auto"/>
          </w:divBdr>
        </w:div>
        <w:div w:id="1446926929">
          <w:marLeft w:val="0"/>
          <w:marRight w:val="0"/>
          <w:marTop w:val="0"/>
          <w:marBottom w:val="0"/>
          <w:divBdr>
            <w:top w:val="none" w:sz="0" w:space="0" w:color="auto"/>
            <w:left w:val="none" w:sz="0" w:space="0" w:color="auto"/>
            <w:bottom w:val="none" w:sz="0" w:space="0" w:color="auto"/>
            <w:right w:val="none" w:sz="0" w:space="0" w:color="auto"/>
          </w:divBdr>
        </w:div>
      </w:divsChild>
    </w:div>
    <w:div w:id="129791592">
      <w:bodyDiv w:val="1"/>
      <w:marLeft w:val="0"/>
      <w:marRight w:val="0"/>
      <w:marTop w:val="0"/>
      <w:marBottom w:val="0"/>
      <w:divBdr>
        <w:top w:val="none" w:sz="0" w:space="0" w:color="auto"/>
        <w:left w:val="none" w:sz="0" w:space="0" w:color="auto"/>
        <w:bottom w:val="none" w:sz="0" w:space="0" w:color="auto"/>
        <w:right w:val="none" w:sz="0" w:space="0" w:color="auto"/>
      </w:divBdr>
    </w:div>
    <w:div w:id="205140463">
      <w:bodyDiv w:val="1"/>
      <w:marLeft w:val="0"/>
      <w:marRight w:val="0"/>
      <w:marTop w:val="0"/>
      <w:marBottom w:val="0"/>
      <w:divBdr>
        <w:top w:val="none" w:sz="0" w:space="0" w:color="auto"/>
        <w:left w:val="none" w:sz="0" w:space="0" w:color="auto"/>
        <w:bottom w:val="none" w:sz="0" w:space="0" w:color="auto"/>
        <w:right w:val="none" w:sz="0" w:space="0" w:color="auto"/>
      </w:divBdr>
    </w:div>
    <w:div w:id="211353989">
      <w:bodyDiv w:val="1"/>
      <w:marLeft w:val="0"/>
      <w:marRight w:val="0"/>
      <w:marTop w:val="0"/>
      <w:marBottom w:val="0"/>
      <w:divBdr>
        <w:top w:val="none" w:sz="0" w:space="0" w:color="auto"/>
        <w:left w:val="none" w:sz="0" w:space="0" w:color="auto"/>
        <w:bottom w:val="none" w:sz="0" w:space="0" w:color="auto"/>
        <w:right w:val="none" w:sz="0" w:space="0" w:color="auto"/>
      </w:divBdr>
    </w:div>
    <w:div w:id="405543059">
      <w:bodyDiv w:val="1"/>
      <w:marLeft w:val="0"/>
      <w:marRight w:val="0"/>
      <w:marTop w:val="0"/>
      <w:marBottom w:val="0"/>
      <w:divBdr>
        <w:top w:val="none" w:sz="0" w:space="0" w:color="auto"/>
        <w:left w:val="none" w:sz="0" w:space="0" w:color="auto"/>
        <w:bottom w:val="none" w:sz="0" w:space="0" w:color="auto"/>
        <w:right w:val="none" w:sz="0" w:space="0" w:color="auto"/>
      </w:divBdr>
    </w:div>
    <w:div w:id="476803363">
      <w:bodyDiv w:val="1"/>
      <w:marLeft w:val="0"/>
      <w:marRight w:val="0"/>
      <w:marTop w:val="0"/>
      <w:marBottom w:val="0"/>
      <w:divBdr>
        <w:top w:val="none" w:sz="0" w:space="0" w:color="auto"/>
        <w:left w:val="none" w:sz="0" w:space="0" w:color="auto"/>
        <w:bottom w:val="none" w:sz="0" w:space="0" w:color="auto"/>
        <w:right w:val="none" w:sz="0" w:space="0" w:color="auto"/>
      </w:divBdr>
      <w:divsChild>
        <w:div w:id="1620838902">
          <w:marLeft w:val="0"/>
          <w:marRight w:val="0"/>
          <w:marTop w:val="0"/>
          <w:marBottom w:val="0"/>
          <w:divBdr>
            <w:top w:val="none" w:sz="0" w:space="0" w:color="auto"/>
            <w:left w:val="none" w:sz="0" w:space="0" w:color="auto"/>
            <w:bottom w:val="none" w:sz="0" w:space="0" w:color="auto"/>
            <w:right w:val="none" w:sz="0" w:space="0" w:color="auto"/>
          </w:divBdr>
          <w:divsChild>
            <w:div w:id="1182016477">
              <w:marLeft w:val="0"/>
              <w:marRight w:val="0"/>
              <w:marTop w:val="0"/>
              <w:marBottom w:val="0"/>
              <w:divBdr>
                <w:top w:val="none" w:sz="0" w:space="0" w:color="auto"/>
                <w:left w:val="none" w:sz="0" w:space="0" w:color="auto"/>
                <w:bottom w:val="none" w:sz="0" w:space="0" w:color="auto"/>
                <w:right w:val="none" w:sz="0" w:space="0" w:color="auto"/>
              </w:divBdr>
              <w:divsChild>
                <w:div w:id="682053452">
                  <w:marLeft w:val="0"/>
                  <w:marRight w:val="0"/>
                  <w:marTop w:val="0"/>
                  <w:marBottom w:val="0"/>
                  <w:divBdr>
                    <w:top w:val="none" w:sz="0" w:space="0" w:color="auto"/>
                    <w:left w:val="none" w:sz="0" w:space="0" w:color="auto"/>
                    <w:bottom w:val="none" w:sz="0" w:space="0" w:color="auto"/>
                    <w:right w:val="none" w:sz="0" w:space="0" w:color="auto"/>
                  </w:divBdr>
                  <w:divsChild>
                    <w:div w:id="666133345">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0"/>
                          <w:marBottom w:val="0"/>
                          <w:divBdr>
                            <w:top w:val="none" w:sz="0" w:space="0" w:color="auto"/>
                            <w:left w:val="none" w:sz="0" w:space="0" w:color="auto"/>
                            <w:bottom w:val="none" w:sz="0" w:space="0" w:color="auto"/>
                            <w:right w:val="none" w:sz="0" w:space="0" w:color="auto"/>
                          </w:divBdr>
                          <w:divsChild>
                            <w:div w:id="2092383603">
                              <w:marLeft w:val="0"/>
                              <w:marRight w:val="0"/>
                              <w:marTop w:val="0"/>
                              <w:marBottom w:val="0"/>
                              <w:divBdr>
                                <w:top w:val="none" w:sz="0" w:space="0" w:color="auto"/>
                                <w:left w:val="none" w:sz="0" w:space="0" w:color="auto"/>
                                <w:bottom w:val="none" w:sz="0" w:space="0" w:color="auto"/>
                                <w:right w:val="none" w:sz="0" w:space="0" w:color="auto"/>
                              </w:divBdr>
                              <w:divsChild>
                                <w:div w:id="8570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426">
      <w:bodyDiv w:val="1"/>
      <w:marLeft w:val="0"/>
      <w:marRight w:val="0"/>
      <w:marTop w:val="0"/>
      <w:marBottom w:val="0"/>
      <w:divBdr>
        <w:top w:val="none" w:sz="0" w:space="0" w:color="auto"/>
        <w:left w:val="none" w:sz="0" w:space="0" w:color="auto"/>
        <w:bottom w:val="none" w:sz="0" w:space="0" w:color="auto"/>
        <w:right w:val="none" w:sz="0" w:space="0" w:color="auto"/>
      </w:divBdr>
    </w:div>
    <w:div w:id="621884763">
      <w:bodyDiv w:val="1"/>
      <w:marLeft w:val="0"/>
      <w:marRight w:val="0"/>
      <w:marTop w:val="0"/>
      <w:marBottom w:val="0"/>
      <w:divBdr>
        <w:top w:val="none" w:sz="0" w:space="0" w:color="auto"/>
        <w:left w:val="none" w:sz="0" w:space="0" w:color="auto"/>
        <w:bottom w:val="none" w:sz="0" w:space="0" w:color="auto"/>
        <w:right w:val="none" w:sz="0" w:space="0" w:color="auto"/>
      </w:divBdr>
    </w:div>
    <w:div w:id="692145504">
      <w:bodyDiv w:val="1"/>
      <w:marLeft w:val="0"/>
      <w:marRight w:val="0"/>
      <w:marTop w:val="0"/>
      <w:marBottom w:val="0"/>
      <w:divBdr>
        <w:top w:val="none" w:sz="0" w:space="0" w:color="auto"/>
        <w:left w:val="none" w:sz="0" w:space="0" w:color="auto"/>
        <w:bottom w:val="none" w:sz="0" w:space="0" w:color="auto"/>
        <w:right w:val="none" w:sz="0" w:space="0" w:color="auto"/>
      </w:divBdr>
    </w:div>
    <w:div w:id="822742939">
      <w:bodyDiv w:val="1"/>
      <w:marLeft w:val="0"/>
      <w:marRight w:val="0"/>
      <w:marTop w:val="0"/>
      <w:marBottom w:val="0"/>
      <w:divBdr>
        <w:top w:val="none" w:sz="0" w:space="0" w:color="auto"/>
        <w:left w:val="none" w:sz="0" w:space="0" w:color="auto"/>
        <w:bottom w:val="none" w:sz="0" w:space="0" w:color="auto"/>
        <w:right w:val="none" w:sz="0" w:space="0" w:color="auto"/>
      </w:divBdr>
      <w:divsChild>
        <w:div w:id="166138839">
          <w:marLeft w:val="0"/>
          <w:marRight w:val="0"/>
          <w:marTop w:val="0"/>
          <w:marBottom w:val="0"/>
          <w:divBdr>
            <w:top w:val="none" w:sz="0" w:space="0" w:color="auto"/>
            <w:left w:val="none" w:sz="0" w:space="0" w:color="auto"/>
            <w:bottom w:val="none" w:sz="0" w:space="0" w:color="auto"/>
            <w:right w:val="none" w:sz="0" w:space="0" w:color="auto"/>
          </w:divBdr>
        </w:div>
        <w:div w:id="782264638">
          <w:marLeft w:val="0"/>
          <w:marRight w:val="0"/>
          <w:marTop w:val="0"/>
          <w:marBottom w:val="0"/>
          <w:divBdr>
            <w:top w:val="none" w:sz="0" w:space="0" w:color="auto"/>
            <w:left w:val="none" w:sz="0" w:space="0" w:color="auto"/>
            <w:bottom w:val="none" w:sz="0" w:space="0" w:color="auto"/>
            <w:right w:val="none" w:sz="0" w:space="0" w:color="auto"/>
          </w:divBdr>
        </w:div>
        <w:div w:id="514154585">
          <w:marLeft w:val="0"/>
          <w:marRight w:val="0"/>
          <w:marTop w:val="0"/>
          <w:marBottom w:val="0"/>
          <w:divBdr>
            <w:top w:val="none" w:sz="0" w:space="0" w:color="auto"/>
            <w:left w:val="none" w:sz="0" w:space="0" w:color="auto"/>
            <w:bottom w:val="none" w:sz="0" w:space="0" w:color="auto"/>
            <w:right w:val="none" w:sz="0" w:space="0" w:color="auto"/>
          </w:divBdr>
        </w:div>
        <w:div w:id="1779258673">
          <w:marLeft w:val="0"/>
          <w:marRight w:val="0"/>
          <w:marTop w:val="0"/>
          <w:marBottom w:val="0"/>
          <w:divBdr>
            <w:top w:val="none" w:sz="0" w:space="0" w:color="auto"/>
            <w:left w:val="none" w:sz="0" w:space="0" w:color="auto"/>
            <w:bottom w:val="none" w:sz="0" w:space="0" w:color="auto"/>
            <w:right w:val="none" w:sz="0" w:space="0" w:color="auto"/>
          </w:divBdr>
        </w:div>
        <w:div w:id="1699114144">
          <w:marLeft w:val="0"/>
          <w:marRight w:val="0"/>
          <w:marTop w:val="0"/>
          <w:marBottom w:val="0"/>
          <w:divBdr>
            <w:top w:val="none" w:sz="0" w:space="0" w:color="auto"/>
            <w:left w:val="none" w:sz="0" w:space="0" w:color="auto"/>
            <w:bottom w:val="none" w:sz="0" w:space="0" w:color="auto"/>
            <w:right w:val="none" w:sz="0" w:space="0" w:color="auto"/>
          </w:divBdr>
        </w:div>
        <w:div w:id="1662736488">
          <w:marLeft w:val="0"/>
          <w:marRight w:val="0"/>
          <w:marTop w:val="0"/>
          <w:marBottom w:val="0"/>
          <w:divBdr>
            <w:top w:val="none" w:sz="0" w:space="0" w:color="auto"/>
            <w:left w:val="none" w:sz="0" w:space="0" w:color="auto"/>
            <w:bottom w:val="none" w:sz="0" w:space="0" w:color="auto"/>
            <w:right w:val="none" w:sz="0" w:space="0" w:color="auto"/>
          </w:divBdr>
        </w:div>
        <w:div w:id="547227080">
          <w:marLeft w:val="0"/>
          <w:marRight w:val="0"/>
          <w:marTop w:val="0"/>
          <w:marBottom w:val="0"/>
          <w:divBdr>
            <w:top w:val="none" w:sz="0" w:space="0" w:color="auto"/>
            <w:left w:val="none" w:sz="0" w:space="0" w:color="auto"/>
            <w:bottom w:val="none" w:sz="0" w:space="0" w:color="auto"/>
            <w:right w:val="none" w:sz="0" w:space="0" w:color="auto"/>
          </w:divBdr>
        </w:div>
        <w:div w:id="1487671155">
          <w:marLeft w:val="0"/>
          <w:marRight w:val="0"/>
          <w:marTop w:val="0"/>
          <w:marBottom w:val="0"/>
          <w:divBdr>
            <w:top w:val="none" w:sz="0" w:space="0" w:color="auto"/>
            <w:left w:val="none" w:sz="0" w:space="0" w:color="auto"/>
            <w:bottom w:val="none" w:sz="0" w:space="0" w:color="auto"/>
            <w:right w:val="none" w:sz="0" w:space="0" w:color="auto"/>
          </w:divBdr>
        </w:div>
      </w:divsChild>
    </w:div>
    <w:div w:id="836268333">
      <w:bodyDiv w:val="1"/>
      <w:marLeft w:val="0"/>
      <w:marRight w:val="0"/>
      <w:marTop w:val="0"/>
      <w:marBottom w:val="0"/>
      <w:divBdr>
        <w:top w:val="none" w:sz="0" w:space="0" w:color="auto"/>
        <w:left w:val="none" w:sz="0" w:space="0" w:color="auto"/>
        <w:bottom w:val="none" w:sz="0" w:space="0" w:color="auto"/>
        <w:right w:val="none" w:sz="0" w:space="0" w:color="auto"/>
      </w:divBdr>
    </w:div>
    <w:div w:id="961690944">
      <w:bodyDiv w:val="1"/>
      <w:marLeft w:val="0"/>
      <w:marRight w:val="0"/>
      <w:marTop w:val="0"/>
      <w:marBottom w:val="0"/>
      <w:divBdr>
        <w:top w:val="none" w:sz="0" w:space="0" w:color="auto"/>
        <w:left w:val="none" w:sz="0" w:space="0" w:color="auto"/>
        <w:bottom w:val="none" w:sz="0" w:space="0" w:color="auto"/>
        <w:right w:val="none" w:sz="0" w:space="0" w:color="auto"/>
      </w:divBdr>
    </w:div>
    <w:div w:id="1043142468">
      <w:bodyDiv w:val="1"/>
      <w:marLeft w:val="0"/>
      <w:marRight w:val="0"/>
      <w:marTop w:val="0"/>
      <w:marBottom w:val="0"/>
      <w:divBdr>
        <w:top w:val="none" w:sz="0" w:space="0" w:color="auto"/>
        <w:left w:val="none" w:sz="0" w:space="0" w:color="auto"/>
        <w:bottom w:val="none" w:sz="0" w:space="0" w:color="auto"/>
        <w:right w:val="none" w:sz="0" w:space="0" w:color="auto"/>
      </w:divBdr>
    </w:div>
    <w:div w:id="1067995977">
      <w:bodyDiv w:val="1"/>
      <w:marLeft w:val="0"/>
      <w:marRight w:val="0"/>
      <w:marTop w:val="0"/>
      <w:marBottom w:val="0"/>
      <w:divBdr>
        <w:top w:val="none" w:sz="0" w:space="0" w:color="auto"/>
        <w:left w:val="none" w:sz="0" w:space="0" w:color="auto"/>
        <w:bottom w:val="none" w:sz="0" w:space="0" w:color="auto"/>
        <w:right w:val="none" w:sz="0" w:space="0" w:color="auto"/>
      </w:divBdr>
    </w:div>
    <w:div w:id="1251231102">
      <w:bodyDiv w:val="1"/>
      <w:marLeft w:val="0"/>
      <w:marRight w:val="0"/>
      <w:marTop w:val="0"/>
      <w:marBottom w:val="0"/>
      <w:divBdr>
        <w:top w:val="none" w:sz="0" w:space="0" w:color="auto"/>
        <w:left w:val="none" w:sz="0" w:space="0" w:color="auto"/>
        <w:bottom w:val="none" w:sz="0" w:space="0" w:color="auto"/>
        <w:right w:val="none" w:sz="0" w:space="0" w:color="auto"/>
      </w:divBdr>
    </w:div>
    <w:div w:id="1424838326">
      <w:bodyDiv w:val="1"/>
      <w:marLeft w:val="0"/>
      <w:marRight w:val="0"/>
      <w:marTop w:val="0"/>
      <w:marBottom w:val="0"/>
      <w:divBdr>
        <w:top w:val="none" w:sz="0" w:space="0" w:color="auto"/>
        <w:left w:val="none" w:sz="0" w:space="0" w:color="auto"/>
        <w:bottom w:val="none" w:sz="0" w:space="0" w:color="auto"/>
        <w:right w:val="none" w:sz="0" w:space="0" w:color="auto"/>
      </w:divBdr>
    </w:div>
    <w:div w:id="1433746959">
      <w:bodyDiv w:val="1"/>
      <w:marLeft w:val="0"/>
      <w:marRight w:val="0"/>
      <w:marTop w:val="0"/>
      <w:marBottom w:val="0"/>
      <w:divBdr>
        <w:top w:val="none" w:sz="0" w:space="0" w:color="auto"/>
        <w:left w:val="none" w:sz="0" w:space="0" w:color="auto"/>
        <w:bottom w:val="none" w:sz="0" w:space="0" w:color="auto"/>
        <w:right w:val="none" w:sz="0" w:space="0" w:color="auto"/>
      </w:divBdr>
    </w:div>
    <w:div w:id="1454714331">
      <w:bodyDiv w:val="1"/>
      <w:marLeft w:val="0"/>
      <w:marRight w:val="0"/>
      <w:marTop w:val="0"/>
      <w:marBottom w:val="0"/>
      <w:divBdr>
        <w:top w:val="none" w:sz="0" w:space="0" w:color="auto"/>
        <w:left w:val="none" w:sz="0" w:space="0" w:color="auto"/>
        <w:bottom w:val="none" w:sz="0" w:space="0" w:color="auto"/>
        <w:right w:val="none" w:sz="0" w:space="0" w:color="auto"/>
      </w:divBdr>
    </w:div>
    <w:div w:id="1572085026">
      <w:bodyDiv w:val="1"/>
      <w:marLeft w:val="0"/>
      <w:marRight w:val="0"/>
      <w:marTop w:val="0"/>
      <w:marBottom w:val="0"/>
      <w:divBdr>
        <w:top w:val="none" w:sz="0" w:space="0" w:color="auto"/>
        <w:left w:val="none" w:sz="0" w:space="0" w:color="auto"/>
        <w:bottom w:val="none" w:sz="0" w:space="0" w:color="auto"/>
        <w:right w:val="none" w:sz="0" w:space="0" w:color="auto"/>
      </w:divBdr>
    </w:div>
    <w:div w:id="1658681216">
      <w:bodyDiv w:val="1"/>
      <w:marLeft w:val="0"/>
      <w:marRight w:val="0"/>
      <w:marTop w:val="0"/>
      <w:marBottom w:val="0"/>
      <w:divBdr>
        <w:top w:val="none" w:sz="0" w:space="0" w:color="auto"/>
        <w:left w:val="none" w:sz="0" w:space="0" w:color="auto"/>
        <w:bottom w:val="none" w:sz="0" w:space="0" w:color="auto"/>
        <w:right w:val="none" w:sz="0" w:space="0" w:color="auto"/>
      </w:divBdr>
    </w:div>
    <w:div w:id="1780879065">
      <w:bodyDiv w:val="1"/>
      <w:marLeft w:val="0"/>
      <w:marRight w:val="0"/>
      <w:marTop w:val="0"/>
      <w:marBottom w:val="0"/>
      <w:divBdr>
        <w:top w:val="none" w:sz="0" w:space="0" w:color="auto"/>
        <w:left w:val="none" w:sz="0" w:space="0" w:color="auto"/>
        <w:bottom w:val="none" w:sz="0" w:space="0" w:color="auto"/>
        <w:right w:val="none" w:sz="0" w:space="0" w:color="auto"/>
      </w:divBdr>
    </w:div>
    <w:div w:id="1801532952">
      <w:bodyDiv w:val="1"/>
      <w:marLeft w:val="0"/>
      <w:marRight w:val="0"/>
      <w:marTop w:val="0"/>
      <w:marBottom w:val="0"/>
      <w:divBdr>
        <w:top w:val="none" w:sz="0" w:space="0" w:color="auto"/>
        <w:left w:val="none" w:sz="0" w:space="0" w:color="auto"/>
        <w:bottom w:val="none" w:sz="0" w:space="0" w:color="auto"/>
        <w:right w:val="none" w:sz="0" w:space="0" w:color="auto"/>
      </w:divBdr>
    </w:div>
    <w:div w:id="1811432969">
      <w:bodyDiv w:val="1"/>
      <w:marLeft w:val="0"/>
      <w:marRight w:val="0"/>
      <w:marTop w:val="0"/>
      <w:marBottom w:val="0"/>
      <w:divBdr>
        <w:top w:val="none" w:sz="0" w:space="0" w:color="auto"/>
        <w:left w:val="none" w:sz="0" w:space="0" w:color="auto"/>
        <w:bottom w:val="none" w:sz="0" w:space="0" w:color="auto"/>
        <w:right w:val="none" w:sz="0" w:space="0" w:color="auto"/>
      </w:divBdr>
      <w:divsChild>
        <w:div w:id="1259633719">
          <w:marLeft w:val="0"/>
          <w:marRight w:val="0"/>
          <w:marTop w:val="0"/>
          <w:marBottom w:val="0"/>
          <w:divBdr>
            <w:top w:val="none" w:sz="0" w:space="0" w:color="auto"/>
            <w:left w:val="none" w:sz="0" w:space="0" w:color="auto"/>
            <w:bottom w:val="none" w:sz="0" w:space="0" w:color="auto"/>
            <w:right w:val="none" w:sz="0" w:space="0" w:color="auto"/>
          </w:divBdr>
          <w:divsChild>
            <w:div w:id="1668167075">
              <w:marLeft w:val="0"/>
              <w:marRight w:val="0"/>
              <w:marTop w:val="0"/>
              <w:marBottom w:val="0"/>
              <w:divBdr>
                <w:top w:val="none" w:sz="0" w:space="0" w:color="auto"/>
                <w:left w:val="none" w:sz="0" w:space="0" w:color="auto"/>
                <w:bottom w:val="none" w:sz="0" w:space="0" w:color="auto"/>
                <w:right w:val="none" w:sz="0" w:space="0" w:color="auto"/>
              </w:divBdr>
              <w:divsChild>
                <w:div w:id="1623807778">
                  <w:marLeft w:val="0"/>
                  <w:marRight w:val="0"/>
                  <w:marTop w:val="0"/>
                  <w:marBottom w:val="0"/>
                  <w:divBdr>
                    <w:top w:val="none" w:sz="0" w:space="0" w:color="auto"/>
                    <w:left w:val="none" w:sz="0" w:space="0" w:color="auto"/>
                    <w:bottom w:val="none" w:sz="0" w:space="0" w:color="auto"/>
                    <w:right w:val="none" w:sz="0" w:space="0" w:color="auto"/>
                  </w:divBdr>
                  <w:divsChild>
                    <w:div w:id="488638337">
                      <w:marLeft w:val="0"/>
                      <w:marRight w:val="0"/>
                      <w:marTop w:val="0"/>
                      <w:marBottom w:val="0"/>
                      <w:divBdr>
                        <w:top w:val="none" w:sz="0" w:space="0" w:color="auto"/>
                        <w:left w:val="none" w:sz="0" w:space="0" w:color="auto"/>
                        <w:bottom w:val="none" w:sz="0" w:space="0" w:color="auto"/>
                        <w:right w:val="none" w:sz="0" w:space="0" w:color="auto"/>
                      </w:divBdr>
                      <w:divsChild>
                        <w:div w:id="1092900274">
                          <w:marLeft w:val="0"/>
                          <w:marRight w:val="0"/>
                          <w:marTop w:val="0"/>
                          <w:marBottom w:val="0"/>
                          <w:divBdr>
                            <w:top w:val="none" w:sz="0" w:space="0" w:color="auto"/>
                            <w:left w:val="none" w:sz="0" w:space="0" w:color="auto"/>
                            <w:bottom w:val="none" w:sz="0" w:space="0" w:color="auto"/>
                            <w:right w:val="none" w:sz="0" w:space="0" w:color="auto"/>
                          </w:divBdr>
                          <w:divsChild>
                            <w:div w:id="332145868">
                              <w:marLeft w:val="0"/>
                              <w:marRight w:val="0"/>
                              <w:marTop w:val="0"/>
                              <w:marBottom w:val="0"/>
                              <w:divBdr>
                                <w:top w:val="none" w:sz="0" w:space="0" w:color="auto"/>
                                <w:left w:val="none" w:sz="0" w:space="0" w:color="auto"/>
                                <w:bottom w:val="none" w:sz="0" w:space="0" w:color="auto"/>
                                <w:right w:val="none" w:sz="0" w:space="0" w:color="auto"/>
                              </w:divBdr>
                              <w:divsChild>
                                <w:div w:id="12350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83232">
      <w:bodyDiv w:val="1"/>
      <w:marLeft w:val="0"/>
      <w:marRight w:val="0"/>
      <w:marTop w:val="0"/>
      <w:marBottom w:val="0"/>
      <w:divBdr>
        <w:top w:val="none" w:sz="0" w:space="0" w:color="auto"/>
        <w:left w:val="none" w:sz="0" w:space="0" w:color="auto"/>
        <w:bottom w:val="none" w:sz="0" w:space="0" w:color="auto"/>
        <w:right w:val="none" w:sz="0" w:space="0" w:color="auto"/>
      </w:divBdr>
    </w:div>
    <w:div w:id="1888487636">
      <w:bodyDiv w:val="1"/>
      <w:marLeft w:val="0"/>
      <w:marRight w:val="0"/>
      <w:marTop w:val="0"/>
      <w:marBottom w:val="0"/>
      <w:divBdr>
        <w:top w:val="none" w:sz="0" w:space="0" w:color="auto"/>
        <w:left w:val="none" w:sz="0" w:space="0" w:color="auto"/>
        <w:bottom w:val="none" w:sz="0" w:space="0" w:color="auto"/>
        <w:right w:val="none" w:sz="0" w:space="0" w:color="auto"/>
      </w:divBdr>
    </w:div>
    <w:div w:id="1936015411">
      <w:bodyDiv w:val="1"/>
      <w:marLeft w:val="0"/>
      <w:marRight w:val="0"/>
      <w:marTop w:val="0"/>
      <w:marBottom w:val="0"/>
      <w:divBdr>
        <w:top w:val="none" w:sz="0" w:space="0" w:color="auto"/>
        <w:left w:val="none" w:sz="0" w:space="0" w:color="auto"/>
        <w:bottom w:val="none" w:sz="0" w:space="0" w:color="auto"/>
        <w:right w:val="none" w:sz="0" w:space="0" w:color="auto"/>
      </w:divBdr>
    </w:div>
    <w:div w:id="1981380009">
      <w:bodyDiv w:val="1"/>
      <w:marLeft w:val="0"/>
      <w:marRight w:val="0"/>
      <w:marTop w:val="0"/>
      <w:marBottom w:val="0"/>
      <w:divBdr>
        <w:top w:val="none" w:sz="0" w:space="0" w:color="auto"/>
        <w:left w:val="none" w:sz="0" w:space="0" w:color="auto"/>
        <w:bottom w:val="none" w:sz="0" w:space="0" w:color="auto"/>
        <w:right w:val="none" w:sz="0" w:space="0" w:color="auto"/>
      </w:divBdr>
    </w:div>
    <w:div w:id="21379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E344-A28A-4946-AA5C-CEB1547E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1704</Words>
  <Characters>10228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Kaniuka</dc:creator>
  <cp:lastModifiedBy>Justyna</cp:lastModifiedBy>
  <cp:revision>7</cp:revision>
  <cp:lastPrinted>2021-10-11T13:00:00Z</cp:lastPrinted>
  <dcterms:created xsi:type="dcterms:W3CDTF">2025-03-04T17:11:00Z</dcterms:created>
  <dcterms:modified xsi:type="dcterms:W3CDTF">2025-03-06T10:51:00Z</dcterms:modified>
</cp:coreProperties>
</file>